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2E1E5" w14:textId="7F84DED7" w:rsidR="00AD6458" w:rsidRDefault="00F41171">
      <w:pPr>
        <w:rPr>
          <w:rFonts w:ascii="Roboto Black" w:hAnsi="Roboto Black" w:cs="Arial"/>
          <w:color w:val="FFFFFF" w:themeColor="background1"/>
          <w:sz w:val="52"/>
          <w:szCs w:val="52"/>
        </w:rPr>
      </w:pPr>
      <w:r w:rsidRPr="00F41171">
        <w:rPr>
          <w:rFonts w:ascii="Roboto Black" w:hAnsi="Roboto Black" w:cs="Arial"/>
          <w:noProof/>
          <w:color w:val="FFFFFF" w:themeColor="background1"/>
          <w:sz w:val="52"/>
          <w:szCs w:val="52"/>
        </w:rPr>
        <mc:AlternateContent>
          <mc:Choice Requires="wps">
            <w:drawing>
              <wp:anchor distT="45720" distB="45720" distL="114300" distR="114300" simplePos="0" relativeHeight="251659264" behindDoc="0" locked="0" layoutInCell="1" allowOverlap="1" wp14:anchorId="2765D2B2" wp14:editId="78890A44">
                <wp:simplePos x="0" y="0"/>
                <wp:positionH relativeFrom="column">
                  <wp:posOffset>218468</wp:posOffset>
                </wp:positionH>
                <wp:positionV relativeFrom="paragraph">
                  <wp:posOffset>244171</wp:posOffset>
                </wp:positionV>
                <wp:extent cx="4991100" cy="4095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409575"/>
                        </a:xfrm>
                        <a:prstGeom prst="rect">
                          <a:avLst/>
                        </a:prstGeom>
                        <a:noFill/>
                        <a:ln w="9525">
                          <a:noFill/>
                          <a:miter lim="800000"/>
                          <a:headEnd/>
                          <a:tailEnd/>
                        </a:ln>
                      </wps:spPr>
                      <wps:txbx>
                        <w:txbxContent>
                          <w:p w14:paraId="5B175E37" w14:textId="2B7E514E" w:rsidR="00F41171" w:rsidRPr="00F41171" w:rsidRDefault="00F41171">
                            <w:pPr>
                              <w:rPr>
                                <w:b/>
                                <w:bCs/>
                                <w:color w:val="FFFFFF" w:themeColor="background1"/>
                                <w:sz w:val="28"/>
                                <w:szCs w:val="28"/>
                              </w:rPr>
                            </w:pPr>
                            <w:r>
                              <w:rPr>
                                <w:b/>
                                <w:bCs/>
                                <w:color w:val="FFFFFF" w:themeColor="background1"/>
                                <w:sz w:val="28"/>
                                <w:szCs w:val="28"/>
                              </w:rPr>
                              <w:t xml:space="preserve">By: </w:t>
                            </w:r>
                            <w:r w:rsidR="00D922D0">
                              <w:rPr>
                                <w:b/>
                                <w:bCs/>
                                <w:color w:val="FFFFFF" w:themeColor="background1"/>
                                <w:sz w:val="28"/>
                                <w:szCs w:val="28"/>
                              </w:rPr>
                              <w:t>Scott Downing</w:t>
                            </w:r>
                            <w:r w:rsidR="0014793B">
                              <w:rPr>
                                <w:b/>
                                <w:bCs/>
                                <w:color w:val="FFFFFF" w:themeColor="background1"/>
                                <w:sz w:val="28"/>
                                <w:szCs w:val="28"/>
                              </w:rPr>
                              <w:t xml:space="preserve">, </w:t>
                            </w:r>
                            <w:r w:rsidR="0014793B" w:rsidRPr="005C6EA0">
                              <w:rPr>
                                <w:b/>
                                <w:bCs/>
                                <w:color w:val="FFFFFF" w:themeColor="background1"/>
                              </w:rPr>
                              <w:t>CFP®</w:t>
                            </w:r>
                            <w:r w:rsidR="00614E05">
                              <w:rPr>
                                <w:b/>
                                <w:bCs/>
                                <w:color w:val="FFFFFF" w:themeColor="background1"/>
                              </w:rPr>
                              <w:t xml:space="preserve"> Sr. Financial Advisor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65D2B2" id="_x0000_t202" coordsize="21600,21600" o:spt="202" path="m,l,21600r21600,l21600,xe">
                <v:stroke joinstyle="miter"/>
                <v:path gradientshapeok="t" o:connecttype="rect"/>
              </v:shapetype>
              <v:shape id="Text Box 2" o:spid="_x0000_s1026" type="#_x0000_t202" style="position:absolute;margin-left:17.2pt;margin-top:19.25pt;width:393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" filled="f" stroked="f">
                <v:textbox>
                  <w:txbxContent>
                    <w:p w14:paraId="5B175E37" w14:textId="2B7E514E" w:rsidR="00F41171" w:rsidRPr="00F41171" w:rsidRDefault="00F41171">
                      <w:pPr>
                        <w:rPr>
                          <w:b/>
                          <w:bCs/>
                          <w:color w:val="FFFFFF" w:themeColor="background1"/>
                          <w:sz w:val="28"/>
                          <w:szCs w:val="28"/>
                        </w:rPr>
                      </w:pPr>
                      <w:r>
                        <w:rPr>
                          <w:b/>
                          <w:bCs/>
                          <w:color w:val="FFFFFF" w:themeColor="background1"/>
                          <w:sz w:val="28"/>
                          <w:szCs w:val="28"/>
                        </w:rPr>
                        <w:t xml:space="preserve">By: </w:t>
                      </w:r>
                      <w:r w:rsidR="00D922D0">
                        <w:rPr>
                          <w:b/>
                          <w:bCs/>
                          <w:color w:val="FFFFFF" w:themeColor="background1"/>
                          <w:sz w:val="28"/>
                          <w:szCs w:val="28"/>
                        </w:rPr>
                        <w:t>Scott Downing</w:t>
                      </w:r>
                      <w:r w:rsidR="0014793B">
                        <w:rPr>
                          <w:b/>
                          <w:bCs/>
                          <w:color w:val="FFFFFF" w:themeColor="background1"/>
                          <w:sz w:val="28"/>
                          <w:szCs w:val="28"/>
                        </w:rPr>
                        <w:t xml:space="preserve">, </w:t>
                      </w:r>
                      <w:r w:rsidR="0014793B" w:rsidRPr="005C6EA0">
                        <w:rPr>
                          <w:b/>
                          <w:bCs/>
                          <w:color w:val="FFFFFF" w:themeColor="background1"/>
                        </w:rPr>
                        <w:t>CFP®</w:t>
                      </w:r>
                      <w:r w:rsidR="00614E05">
                        <w:rPr>
                          <w:b/>
                          <w:bCs/>
                          <w:color w:val="FFFFFF" w:themeColor="background1"/>
                        </w:rPr>
                        <w:t xml:space="preserve"> Sr. Financial Advisor</w:t>
                      </w:r>
                    </w:p>
                  </w:txbxContent>
                </v:textbox>
              </v:shape>
            </w:pict>
          </mc:Fallback>
        </mc:AlternateContent>
      </w:r>
    </w:p>
    <w:p w14:paraId="1FAEC6B5" w14:textId="77777777" w:rsidR="00726845" w:rsidRPr="002F612C" w:rsidRDefault="00726845"/>
    <w:p w14:paraId="6685B89F" w14:textId="6DF90773" w:rsidR="004F37EB" w:rsidRDefault="004F37EB" w:rsidP="001814E6">
      <w:pPr>
        <w:rPr>
          <w:rFonts w:eastAsia="Times New Roman" w:cs="Times New Roman"/>
          <w:color w:val="000000"/>
          <w:sz w:val="24"/>
          <w:szCs w:val="24"/>
        </w:rPr>
      </w:pPr>
    </w:p>
    <w:p w14:paraId="54F3D8D0" w14:textId="14457AFE" w:rsidR="0066284D" w:rsidRPr="0066284D" w:rsidRDefault="0066284D" w:rsidP="0066284D">
      <w:pPr>
        <w:rPr>
          <w:rFonts w:eastAsia="Times New Roman" w:cs="Times New Roman"/>
          <w:color w:val="000000"/>
          <w:sz w:val="24"/>
          <w:szCs w:val="24"/>
        </w:rPr>
      </w:pPr>
      <w:r w:rsidRPr="0066284D">
        <w:rPr>
          <w:rFonts w:eastAsia="Times New Roman" w:cs="Times New Roman"/>
          <w:color w:val="000000"/>
          <w:sz w:val="24"/>
          <w:szCs w:val="24"/>
        </w:rPr>
        <w:t xml:space="preserve">With the Tax Cuts and Jobs Act (TCJA) set to expire </w:t>
      </w:r>
      <w:r w:rsidR="00557D9E">
        <w:rPr>
          <w:rFonts w:eastAsia="Times New Roman" w:cs="Times New Roman"/>
          <w:color w:val="000000"/>
          <w:sz w:val="24"/>
          <w:szCs w:val="24"/>
        </w:rPr>
        <w:t xml:space="preserve">at the end of </w:t>
      </w:r>
      <w:r w:rsidRPr="0066284D">
        <w:rPr>
          <w:rFonts w:eastAsia="Times New Roman" w:cs="Times New Roman"/>
          <w:color w:val="000000"/>
          <w:sz w:val="24"/>
          <w:szCs w:val="24"/>
        </w:rPr>
        <w:t xml:space="preserve">2025, tax rates are expected to increase as they revert to pre-2018 levels. This shift presents a critical planning window for Roth strategies, as individuals can take advantage of the current lower tax rates. </w:t>
      </w:r>
    </w:p>
    <w:p w14:paraId="6382B893" w14:textId="022E6650" w:rsidR="0066284D" w:rsidRPr="0066284D" w:rsidRDefault="0066284D" w:rsidP="0066284D">
      <w:pPr>
        <w:rPr>
          <w:rFonts w:eastAsia="Times New Roman" w:cs="Times New Roman"/>
          <w:color w:val="000000"/>
          <w:sz w:val="24"/>
          <w:szCs w:val="24"/>
        </w:rPr>
      </w:pPr>
      <w:r w:rsidRPr="0066284D">
        <w:rPr>
          <w:rFonts w:eastAsia="Times New Roman" w:cs="Times New Roman"/>
          <w:color w:val="000000"/>
          <w:sz w:val="24"/>
          <w:szCs w:val="24"/>
        </w:rPr>
        <w:t>Here are</w:t>
      </w:r>
      <w:r w:rsidR="004511DA">
        <w:rPr>
          <w:rFonts w:eastAsia="Times New Roman" w:cs="Times New Roman"/>
          <w:color w:val="000000"/>
          <w:sz w:val="24"/>
          <w:szCs w:val="24"/>
        </w:rPr>
        <w:t xml:space="preserve"> four</w:t>
      </w:r>
      <w:r w:rsidRPr="0066284D">
        <w:rPr>
          <w:rFonts w:eastAsia="Times New Roman" w:cs="Times New Roman"/>
          <w:color w:val="000000"/>
          <w:sz w:val="24"/>
          <w:szCs w:val="24"/>
        </w:rPr>
        <w:t xml:space="preserve"> key Roth strategies to consider before the TCJA sunsets:</w:t>
      </w:r>
    </w:p>
    <w:p w14:paraId="28EFB9FE" w14:textId="77777777" w:rsidR="0066284D" w:rsidRPr="0066284D" w:rsidRDefault="0066284D" w:rsidP="0066284D">
      <w:pPr>
        <w:rPr>
          <w:rFonts w:eastAsia="Times New Roman" w:cs="Times New Roman"/>
          <w:b/>
          <w:bCs/>
          <w:color w:val="000000"/>
          <w:sz w:val="24"/>
          <w:szCs w:val="24"/>
        </w:rPr>
      </w:pPr>
      <w:r w:rsidRPr="0066284D">
        <w:rPr>
          <w:rFonts w:eastAsia="Times New Roman" w:cs="Times New Roman"/>
          <w:b/>
          <w:bCs/>
          <w:color w:val="000000"/>
          <w:sz w:val="24"/>
          <w:szCs w:val="24"/>
        </w:rPr>
        <w:t>1. Roth Conversions During Lower Tax Rates</w:t>
      </w:r>
    </w:p>
    <w:p w14:paraId="0FBF0FE8" w14:textId="77777777" w:rsidR="0066284D" w:rsidRPr="0066284D" w:rsidRDefault="0066284D" w:rsidP="0066284D">
      <w:pPr>
        <w:rPr>
          <w:rFonts w:eastAsia="Times New Roman" w:cs="Times New Roman"/>
          <w:color w:val="000000"/>
          <w:sz w:val="24"/>
          <w:szCs w:val="24"/>
        </w:rPr>
      </w:pPr>
      <w:r w:rsidRPr="0066284D">
        <w:rPr>
          <w:rFonts w:eastAsia="Times New Roman" w:cs="Times New Roman"/>
          <w:color w:val="000000"/>
          <w:sz w:val="24"/>
          <w:szCs w:val="24"/>
        </w:rPr>
        <w:t>The TCJA lowered individual income tax rates across most brackets. Converting funds from a traditional IRA or 401(k) to a Roth IRA now allows you to pay taxes at today’s lower rates, locking in tax-free growth and withdrawals in retirement.</w:t>
      </w:r>
    </w:p>
    <w:p w14:paraId="2FD1E776" w14:textId="77777777" w:rsidR="0066284D" w:rsidRPr="0066284D" w:rsidRDefault="0066284D" w:rsidP="0066284D">
      <w:pPr>
        <w:numPr>
          <w:ilvl w:val="0"/>
          <w:numId w:val="12"/>
        </w:numPr>
        <w:rPr>
          <w:rFonts w:eastAsia="Times New Roman" w:cs="Times New Roman"/>
          <w:color w:val="000000"/>
          <w:sz w:val="24"/>
          <w:szCs w:val="24"/>
        </w:rPr>
      </w:pPr>
      <w:r w:rsidRPr="0066284D">
        <w:rPr>
          <w:rFonts w:eastAsia="Times New Roman" w:cs="Times New Roman"/>
          <w:b/>
          <w:bCs/>
          <w:color w:val="000000"/>
          <w:sz w:val="24"/>
          <w:szCs w:val="24"/>
        </w:rPr>
        <w:t>Why Convert Now</w:t>
      </w:r>
      <w:r w:rsidRPr="0066284D">
        <w:rPr>
          <w:rFonts w:eastAsia="Times New Roman" w:cs="Times New Roman"/>
          <w:color w:val="000000"/>
          <w:sz w:val="24"/>
          <w:szCs w:val="24"/>
        </w:rPr>
        <w:t>: Post-2025, tax rates are likely to increase, meaning future conversions could be taxed at higher rates. Converting now allows you to lock in lower taxes.</w:t>
      </w:r>
    </w:p>
    <w:p w14:paraId="589AE601" w14:textId="6B4F6229" w:rsidR="0066284D" w:rsidRPr="0066284D" w:rsidRDefault="0066284D" w:rsidP="0066284D">
      <w:pPr>
        <w:numPr>
          <w:ilvl w:val="0"/>
          <w:numId w:val="12"/>
        </w:numPr>
        <w:rPr>
          <w:rFonts w:eastAsia="Times New Roman" w:cs="Times New Roman"/>
          <w:color w:val="000000"/>
          <w:sz w:val="24"/>
          <w:szCs w:val="24"/>
        </w:rPr>
      </w:pPr>
      <w:r w:rsidRPr="0066284D">
        <w:rPr>
          <w:rFonts w:eastAsia="Times New Roman" w:cs="Times New Roman"/>
          <w:b/>
          <w:bCs/>
          <w:color w:val="000000"/>
          <w:sz w:val="24"/>
          <w:szCs w:val="24"/>
        </w:rPr>
        <w:t>Partial Conversions</w:t>
      </w:r>
      <w:r w:rsidRPr="0066284D">
        <w:rPr>
          <w:rFonts w:eastAsia="Times New Roman" w:cs="Times New Roman"/>
          <w:color w:val="000000"/>
          <w:sz w:val="24"/>
          <w:szCs w:val="24"/>
        </w:rPr>
        <w:t xml:space="preserve">: Spread out conversions over the </w:t>
      </w:r>
      <w:r w:rsidR="00A65A37">
        <w:rPr>
          <w:rFonts w:eastAsia="Times New Roman" w:cs="Times New Roman"/>
          <w:color w:val="000000"/>
          <w:sz w:val="24"/>
          <w:szCs w:val="24"/>
        </w:rPr>
        <w:t>next year</w:t>
      </w:r>
      <w:r w:rsidRPr="0066284D">
        <w:rPr>
          <w:rFonts w:eastAsia="Times New Roman" w:cs="Times New Roman"/>
          <w:color w:val="000000"/>
          <w:sz w:val="24"/>
          <w:szCs w:val="24"/>
        </w:rPr>
        <w:t xml:space="preserve"> to avoid pushing yourself into a higher tax bracket in any one year. This allows for tax-efficient Roth conversions while taking advantage of the lower rates.</w:t>
      </w:r>
    </w:p>
    <w:p w14:paraId="49769878" w14:textId="77777777" w:rsidR="0066284D" w:rsidRPr="0066284D" w:rsidRDefault="0066284D" w:rsidP="0066284D">
      <w:pPr>
        <w:rPr>
          <w:rFonts w:eastAsia="Times New Roman" w:cs="Times New Roman"/>
          <w:b/>
          <w:bCs/>
          <w:color w:val="000000"/>
          <w:sz w:val="24"/>
          <w:szCs w:val="24"/>
        </w:rPr>
      </w:pPr>
      <w:r w:rsidRPr="0066284D">
        <w:rPr>
          <w:rFonts w:eastAsia="Times New Roman" w:cs="Times New Roman"/>
          <w:b/>
          <w:bCs/>
          <w:color w:val="000000"/>
          <w:sz w:val="24"/>
          <w:szCs w:val="24"/>
        </w:rPr>
        <w:t>2. Maximize Roth 401(k) Contributions</w:t>
      </w:r>
    </w:p>
    <w:p w14:paraId="2B6142B9" w14:textId="558DE8D0" w:rsidR="0066284D" w:rsidRPr="0066284D" w:rsidRDefault="0066284D" w:rsidP="0066284D">
      <w:pPr>
        <w:rPr>
          <w:rFonts w:eastAsia="Times New Roman" w:cs="Times New Roman"/>
          <w:color w:val="000000"/>
          <w:sz w:val="24"/>
          <w:szCs w:val="24"/>
        </w:rPr>
      </w:pPr>
      <w:r w:rsidRPr="0066284D">
        <w:rPr>
          <w:rFonts w:eastAsia="Times New Roman" w:cs="Times New Roman"/>
          <w:color w:val="000000"/>
          <w:sz w:val="24"/>
          <w:szCs w:val="24"/>
        </w:rPr>
        <w:t>For those still working, contributing to a Roth 401(k) can be a smart strategy under the TCJA. Roth 401(k) contributions are made with after-tax dollars, but withdrawals in retirement are tax-free. By maximizing contributions now, you benefit from tax-free income later, potentially at a time when tax rates could be higher.</w:t>
      </w:r>
    </w:p>
    <w:p w14:paraId="4D498E65" w14:textId="77777777" w:rsidR="0066284D" w:rsidRPr="0066284D" w:rsidRDefault="0066284D" w:rsidP="0066284D">
      <w:pPr>
        <w:rPr>
          <w:rFonts w:eastAsia="Times New Roman" w:cs="Times New Roman"/>
          <w:b/>
          <w:bCs/>
          <w:color w:val="000000"/>
          <w:sz w:val="24"/>
          <w:szCs w:val="24"/>
        </w:rPr>
      </w:pPr>
      <w:r w:rsidRPr="0066284D">
        <w:rPr>
          <w:rFonts w:eastAsia="Times New Roman" w:cs="Times New Roman"/>
          <w:b/>
          <w:bCs/>
          <w:color w:val="000000"/>
          <w:sz w:val="24"/>
          <w:szCs w:val="24"/>
        </w:rPr>
        <w:t>3. Backdoor Roth IRA</w:t>
      </w:r>
    </w:p>
    <w:p w14:paraId="0A9D9955" w14:textId="775F7AD9" w:rsidR="0066284D" w:rsidRPr="0066284D" w:rsidRDefault="0066284D" w:rsidP="0066284D">
      <w:pPr>
        <w:rPr>
          <w:rFonts w:eastAsia="Times New Roman" w:cs="Times New Roman"/>
          <w:color w:val="000000"/>
          <w:sz w:val="24"/>
          <w:szCs w:val="24"/>
        </w:rPr>
      </w:pPr>
      <w:r w:rsidRPr="0066284D">
        <w:rPr>
          <w:rFonts w:eastAsia="Times New Roman" w:cs="Times New Roman"/>
          <w:color w:val="000000"/>
          <w:sz w:val="24"/>
          <w:szCs w:val="24"/>
        </w:rPr>
        <w:t>High-income earners who exceed Roth IRA contribution limits can take advantage of the backdoor Roth IRA strategy. This involves contributing to a non-deductible traditional IRA and then converting those funds to a Roth IRA. The TCJA’s lower tax environment makes this strategy even more appealing before the law sunsets.</w:t>
      </w:r>
    </w:p>
    <w:p w14:paraId="5B10007C" w14:textId="77777777" w:rsidR="0066284D" w:rsidRPr="0066284D" w:rsidRDefault="0066284D" w:rsidP="0066284D">
      <w:pPr>
        <w:rPr>
          <w:rFonts w:eastAsia="Times New Roman" w:cs="Times New Roman"/>
          <w:b/>
          <w:bCs/>
          <w:color w:val="000000"/>
          <w:sz w:val="24"/>
          <w:szCs w:val="24"/>
        </w:rPr>
      </w:pPr>
      <w:r w:rsidRPr="0066284D">
        <w:rPr>
          <w:rFonts w:eastAsia="Times New Roman" w:cs="Times New Roman"/>
          <w:b/>
          <w:bCs/>
          <w:color w:val="000000"/>
          <w:sz w:val="24"/>
          <w:szCs w:val="24"/>
        </w:rPr>
        <w:t>4. Take Advantage of Tax Bracket Management</w:t>
      </w:r>
    </w:p>
    <w:p w14:paraId="0FEF6E24" w14:textId="77777777" w:rsidR="0066284D" w:rsidRPr="0066284D" w:rsidRDefault="0066284D" w:rsidP="0066284D">
      <w:pPr>
        <w:rPr>
          <w:rFonts w:eastAsia="Times New Roman" w:cs="Times New Roman"/>
          <w:color w:val="000000"/>
          <w:sz w:val="24"/>
          <w:szCs w:val="24"/>
        </w:rPr>
      </w:pPr>
      <w:r w:rsidRPr="0066284D">
        <w:rPr>
          <w:rFonts w:eastAsia="Times New Roman" w:cs="Times New Roman"/>
          <w:color w:val="000000"/>
          <w:sz w:val="24"/>
          <w:szCs w:val="24"/>
        </w:rPr>
        <w:t>While tax rates are still low, manage your taxable income carefully. If you're nearing retirement, consider withdrawing from taxable accounts or doing Roth conversions up to the top of your current tax bracket. This allows you to optimize your tax liability while building up your tax-free Roth accounts.</w:t>
      </w:r>
    </w:p>
    <w:p w14:paraId="6F610D6D" w14:textId="77777777" w:rsidR="0066284D" w:rsidRPr="0066284D" w:rsidRDefault="0066284D" w:rsidP="0066284D">
      <w:pPr>
        <w:rPr>
          <w:rFonts w:eastAsia="Times New Roman" w:cs="Times New Roman"/>
          <w:color w:val="000000"/>
          <w:sz w:val="24"/>
          <w:szCs w:val="24"/>
        </w:rPr>
      </w:pPr>
    </w:p>
    <w:p w14:paraId="794D1132" w14:textId="77777777" w:rsidR="0066284D" w:rsidRPr="0066284D" w:rsidRDefault="0066284D" w:rsidP="0066284D">
      <w:pPr>
        <w:rPr>
          <w:rFonts w:eastAsia="Times New Roman" w:cs="Times New Roman"/>
          <w:color w:val="000000"/>
          <w:sz w:val="24"/>
          <w:szCs w:val="24"/>
        </w:rPr>
      </w:pPr>
      <w:r w:rsidRPr="0066284D">
        <w:rPr>
          <w:rFonts w:eastAsia="Times New Roman" w:cs="Times New Roman"/>
          <w:color w:val="000000"/>
          <w:sz w:val="24"/>
          <w:szCs w:val="24"/>
        </w:rPr>
        <w:t>Also consider reviewing your tax deductions to offset any income that you might realize when utilizing these Roth strategies. Bunching charitable gifts in a Donor Advised Fund or planning for Qualified Charitable Distributions from taxable IRAs beyond age 70.5 are helpful strategies when employed properly.</w:t>
      </w:r>
    </w:p>
    <w:p w14:paraId="4C05A147" w14:textId="77777777" w:rsidR="0066284D" w:rsidRPr="0066284D" w:rsidRDefault="0066284D" w:rsidP="0066284D">
      <w:pPr>
        <w:rPr>
          <w:rFonts w:eastAsia="Times New Roman" w:cs="Times New Roman"/>
          <w:b/>
          <w:bCs/>
          <w:color w:val="000000"/>
          <w:sz w:val="24"/>
          <w:szCs w:val="24"/>
        </w:rPr>
      </w:pPr>
      <w:r w:rsidRPr="0066284D">
        <w:rPr>
          <w:rFonts w:eastAsia="Times New Roman" w:cs="Times New Roman"/>
          <w:b/>
          <w:bCs/>
          <w:color w:val="000000"/>
          <w:sz w:val="24"/>
          <w:szCs w:val="24"/>
        </w:rPr>
        <w:t>Conclusion</w:t>
      </w:r>
    </w:p>
    <w:p w14:paraId="0F08FDDB" w14:textId="5F47CFF9" w:rsidR="0066284D" w:rsidRPr="0066284D" w:rsidRDefault="0066284D" w:rsidP="0066284D">
      <w:pPr>
        <w:rPr>
          <w:rFonts w:eastAsia="Times New Roman" w:cs="Times New Roman"/>
          <w:color w:val="000000"/>
          <w:sz w:val="24"/>
          <w:szCs w:val="24"/>
        </w:rPr>
      </w:pPr>
      <w:r w:rsidRPr="0066284D">
        <w:rPr>
          <w:rFonts w:eastAsia="Times New Roman" w:cs="Times New Roman"/>
          <w:color w:val="000000"/>
          <w:sz w:val="24"/>
          <w:szCs w:val="24"/>
        </w:rPr>
        <w:t xml:space="preserve">With tax rates expected to rise </w:t>
      </w:r>
      <w:r w:rsidR="00557D9E">
        <w:rPr>
          <w:rFonts w:eastAsia="Times New Roman" w:cs="Times New Roman"/>
          <w:color w:val="000000"/>
          <w:sz w:val="24"/>
          <w:szCs w:val="24"/>
        </w:rPr>
        <w:t>in 2026 and beyond</w:t>
      </w:r>
      <w:r w:rsidRPr="0066284D">
        <w:rPr>
          <w:rFonts w:eastAsia="Times New Roman" w:cs="Times New Roman"/>
          <w:color w:val="000000"/>
          <w:sz w:val="24"/>
          <w:szCs w:val="24"/>
        </w:rPr>
        <w:t xml:space="preserve">, now is the time to consider Roth strategies that take advantage of the current lower rates. By converting traditional accounts, maximizing Roth contributions, and strategically managing tax brackets, you can position yourself for greater tax-free growth and income in retirement. </w:t>
      </w:r>
      <w:r w:rsidR="00005D6B">
        <w:rPr>
          <w:rFonts w:eastAsia="Times New Roman" w:cs="Times New Roman"/>
          <w:color w:val="000000"/>
          <w:sz w:val="24"/>
          <w:szCs w:val="24"/>
        </w:rPr>
        <w:t>Please r</w:t>
      </w:r>
      <w:r w:rsidRPr="0066284D">
        <w:rPr>
          <w:rFonts w:eastAsia="Times New Roman" w:cs="Times New Roman"/>
          <w:color w:val="000000"/>
          <w:sz w:val="24"/>
          <w:szCs w:val="24"/>
        </w:rPr>
        <w:t>each out with any questions on these or other tax planning topics.</w:t>
      </w:r>
    </w:p>
    <w:p w14:paraId="3F4A9F7A" w14:textId="77777777" w:rsidR="00103E32" w:rsidRDefault="00103E32" w:rsidP="001814E6">
      <w:pPr>
        <w:rPr>
          <w:b/>
          <w:bCs/>
        </w:rPr>
      </w:pPr>
    </w:p>
    <w:p w14:paraId="27F70BC1" w14:textId="77777777" w:rsidR="005A30F0" w:rsidRDefault="005A30F0" w:rsidP="001814E6">
      <w:pPr>
        <w:rPr>
          <w:b/>
          <w:bCs/>
          <w:sz w:val="18"/>
          <w:szCs w:val="18"/>
        </w:rPr>
      </w:pPr>
    </w:p>
    <w:p w14:paraId="0DA5CCC9" w14:textId="1BC321DE" w:rsidR="006F46F4" w:rsidRPr="002A6685" w:rsidRDefault="006F46F4" w:rsidP="001814E6">
      <w:pPr>
        <w:rPr>
          <w:b/>
          <w:bCs/>
          <w:sz w:val="18"/>
          <w:szCs w:val="18"/>
        </w:rPr>
      </w:pPr>
      <w:r w:rsidRPr="002A6685">
        <w:rPr>
          <w:b/>
          <w:bCs/>
          <w:sz w:val="18"/>
          <w:szCs w:val="18"/>
        </w:rPr>
        <w:t xml:space="preserve">IMPORTANT DISCLOSURE INFORMATION </w:t>
      </w:r>
    </w:p>
    <w:p w14:paraId="2567B96C" w14:textId="78606F35" w:rsidR="00AD6458" w:rsidRPr="002A6685" w:rsidRDefault="006F46F4" w:rsidP="001814E6">
      <w:pPr>
        <w:rPr>
          <w:sz w:val="18"/>
          <w:szCs w:val="18"/>
        </w:rPr>
      </w:pPr>
      <w:r w:rsidRPr="002A6685">
        <w:rPr>
          <w:sz w:val="18"/>
          <w:szCs w:val="18"/>
        </w:rPr>
        <w:t xml:space="preserve">MCF Advisors, LLC (“MCF”) is a SEC registered investment adviser. Registration as an investment adviser does not imply a certain level of skill or training. The oral and written communications of an adviser provide you with information about which you determine to hire or retain an adviser. </w:t>
      </w:r>
    </w:p>
    <w:p w14:paraId="5182E1A9" w14:textId="1A935D1A" w:rsidR="001814E6" w:rsidRDefault="006F46F4" w:rsidP="00A9004D">
      <w:pPr>
        <w:rPr>
          <w:rFonts w:asciiTheme="minorHAnsi" w:eastAsia="Times New Roman" w:hAnsiTheme="minorHAnsi" w:cstheme="minorHAnsi"/>
          <w:sz w:val="16"/>
          <w:szCs w:val="16"/>
        </w:rPr>
      </w:pPr>
      <w:r w:rsidRPr="002A6685">
        <w:rPr>
          <w:sz w:val="18"/>
          <w:szCs w:val="18"/>
        </w:rPr>
        <w:t>More information about the adviser can also be found by visiting: https://adviserinfo.sec.gov/. This is not intended as an offer or solicitation with respect to the purchase or sale of any security. MCF may only transact business in those states in which it is registered, or qualifies for an exemption or exclusion from registration requirements. Please remember that past performance may not be indicative of future results. Different types of investments involve varying degrees of risk, and there can be no assurance that the future performance of any specific investment, investment strategy, or product (including the investments and/or investment strategies recommended or undertaken by MCF), or any non-investment related content, made reference to directly or indirectly in this blog/newsletter will be profitable, equal any corresponding indicated historical performance level(s), be suitable for your portfolio or individual situation, or prove successful. Due to various factors, including changing market conditions and/or applicable laws, the content may no longer be reflective of current opinions or positions. Moreover, you should not assume that any discussion or information contained in this blog/newsletter serves as the receipt of, or as a substitute for, personalized investment advice from MCF. To the extent that a reader has any questions regarding the applicability of any specific issue discussed above to his/her individual situation, he/she is encouraged to consult with the professional advisor of his/her choosing. MCF is neither a law firm nor a certified public accounting firm and no portion of this content should be construed as legal or accounting advice. A copy of MCF’s current written disclosure statement and customer relationship summary (“Form CRS”) discussing our advisory services and fees continues to remain available upon request. The scope of the services to be provided depends upon the needs of the client and the terms of the engagement. If you are a MCF client, please remember to contact MCF, in writing, if there are any changes in your personal/financial situation or investment objectives for the purpose of reviewing/evaluating/revising our previous recommendations and/or services.</w:t>
      </w:r>
    </w:p>
    <w:p w14:paraId="7391A77D" w14:textId="77777777" w:rsidR="00A9004D" w:rsidRDefault="00A9004D" w:rsidP="00A9004D">
      <w:pPr>
        <w:rPr>
          <w:rFonts w:asciiTheme="minorHAnsi" w:eastAsia="Times New Roman" w:hAnsiTheme="minorHAnsi" w:cstheme="minorHAnsi"/>
          <w:sz w:val="16"/>
          <w:szCs w:val="16"/>
        </w:rPr>
      </w:pPr>
    </w:p>
    <w:p w14:paraId="0456624D" w14:textId="087FC1D0" w:rsidR="0007538B" w:rsidRDefault="0007538B"/>
    <w:sectPr w:rsidR="0007538B" w:rsidSect="00B83DEE">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08DC07" w14:textId="77777777" w:rsidR="00B761B9" w:rsidRDefault="00B761B9" w:rsidP="00FF15E0">
      <w:pPr>
        <w:spacing w:after="0" w:line="240" w:lineRule="auto"/>
      </w:pPr>
      <w:r>
        <w:separator/>
      </w:r>
    </w:p>
  </w:endnote>
  <w:endnote w:type="continuationSeparator" w:id="0">
    <w:p w14:paraId="61A1774D" w14:textId="77777777" w:rsidR="00B761B9" w:rsidRDefault="00B761B9" w:rsidP="00FF1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Light">
    <w:altName w:val="Times New Roman"/>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Black">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FE8B6D" w14:textId="77777777" w:rsidR="00FF15E0" w:rsidRDefault="00FF15E0">
    <w:pPr>
      <w:pStyle w:val="Footer"/>
    </w:pPr>
  </w:p>
  <w:p w14:paraId="6DB6DBA5" w14:textId="69D02AD9" w:rsidR="00FF15E0" w:rsidRPr="00FF15E0" w:rsidRDefault="00FF15E0" w:rsidP="00FF15E0">
    <w:pPr>
      <w:pStyle w:val="Footer"/>
      <w:rPr>
        <w:rFonts w:ascii="Arial" w:hAnsi="Arial" w:cs="Arial"/>
        <w:sz w:val="16"/>
      </w:rPr>
    </w:pPr>
    <w:r>
      <w:rPr>
        <w:rFonts w:ascii="Arial" w:hAnsi="Arial" w:cs="Arial"/>
        <w:sz w:val="16"/>
      </w:rPr>
      <w:fldChar w:fldCharType="begin" w:fldLock="1"/>
    </w:r>
    <w:r>
      <w:rPr>
        <w:rFonts w:ascii="Arial" w:hAnsi="Arial" w:cs="Arial"/>
        <w:sz w:val="16"/>
      </w:rPr>
      <w:instrText xml:space="preserve"> DOCVARIABLE  ndGeneratedStamp </w:instrText>
    </w:r>
    <w:r w:rsidR="00000000">
      <w:rPr>
        <w:rFonts w:ascii="Arial" w:hAnsi="Arial" w:cs="Arial"/>
        <w:sz w:val="16"/>
      </w:rPr>
      <w:fldChar w:fldCharType="separate"/>
    </w:r>
    <w:r>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3BDC8" w14:textId="649A3E8D" w:rsidR="006D769C" w:rsidRDefault="00F41171" w:rsidP="00FF15E0">
    <w:pPr>
      <w:pStyle w:val="Footer"/>
      <w:rPr>
        <w:noProof/>
      </w:rPr>
    </w:pPr>
    <w:r>
      <w:rPr>
        <w:noProof/>
      </w:rPr>
      <w:drawing>
        <wp:anchor distT="0" distB="0" distL="114300" distR="114300" simplePos="0" relativeHeight="251662336" behindDoc="1" locked="0" layoutInCell="1" allowOverlap="1" wp14:anchorId="4925E11B" wp14:editId="0C9D5BE9">
          <wp:simplePos x="0" y="0"/>
          <wp:positionH relativeFrom="column">
            <wp:posOffset>-371475</wp:posOffset>
          </wp:positionH>
          <wp:positionV relativeFrom="paragraph">
            <wp:posOffset>10795</wp:posOffset>
          </wp:positionV>
          <wp:extent cx="1085850" cy="542925"/>
          <wp:effectExtent l="0" t="0" r="0" b="9525"/>
          <wp:wrapTight wrapText="bothSides">
            <wp:wrapPolygon edited="0">
              <wp:start x="0" y="0"/>
              <wp:lineTo x="0" y="21221"/>
              <wp:lineTo x="21221" y="21221"/>
              <wp:lineTo x="21221" y="0"/>
              <wp:lineTo x="0" y="0"/>
            </wp:wrapPolygon>
          </wp:wrapTight>
          <wp:docPr id="1113823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E8F711" w14:textId="2DBDC779" w:rsidR="00FF15E0" w:rsidRPr="00863D39" w:rsidRDefault="00FF15E0" w:rsidP="00FF15E0">
    <w:pPr>
      <w:pStyle w:val="Footer"/>
    </w:pPr>
    <w:r>
      <w:rPr>
        <w:rFonts w:ascii="Arial" w:hAnsi="Arial" w:cs="Arial"/>
        <w:sz w:val="16"/>
      </w:rPr>
      <w:fldChar w:fldCharType="begin" w:fldLock="1"/>
    </w:r>
    <w:r>
      <w:rPr>
        <w:rFonts w:ascii="Arial" w:hAnsi="Arial" w:cs="Arial"/>
        <w:sz w:val="16"/>
      </w:rPr>
      <w:instrText xml:space="preserve"> DOCVARIABLE  ndGeneratedStamp </w:instrText>
    </w:r>
    <w:r w:rsidR="00000000">
      <w:rPr>
        <w:rFonts w:ascii="Arial" w:hAnsi="Arial" w:cs="Arial"/>
        <w:sz w:val="16"/>
      </w:rPr>
      <w:fldChar w:fldCharType="separate"/>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AD79A" w14:textId="11474ABD" w:rsidR="00FF15E0" w:rsidRDefault="00F41171">
    <w:pPr>
      <w:pStyle w:val="Footer"/>
    </w:pPr>
    <w:r>
      <w:rPr>
        <w:noProof/>
      </w:rPr>
      <w:drawing>
        <wp:anchor distT="0" distB="0" distL="114300" distR="114300" simplePos="0" relativeHeight="251667456" behindDoc="1" locked="0" layoutInCell="1" allowOverlap="1" wp14:anchorId="68BD3627" wp14:editId="785CAE69">
          <wp:simplePos x="0" y="0"/>
          <wp:positionH relativeFrom="column">
            <wp:posOffset>-381000</wp:posOffset>
          </wp:positionH>
          <wp:positionV relativeFrom="paragraph">
            <wp:posOffset>-41910</wp:posOffset>
          </wp:positionV>
          <wp:extent cx="1085850" cy="542925"/>
          <wp:effectExtent l="0" t="0" r="0" b="9525"/>
          <wp:wrapTight wrapText="bothSides">
            <wp:wrapPolygon edited="0">
              <wp:start x="0" y="0"/>
              <wp:lineTo x="0" y="21221"/>
              <wp:lineTo x="21221" y="21221"/>
              <wp:lineTo x="21221" y="0"/>
              <wp:lineTo x="0" y="0"/>
            </wp:wrapPolygon>
          </wp:wrapTight>
          <wp:docPr id="1070952724"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52724" name="Picture 2"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A4FF5B" w14:textId="68B56096" w:rsidR="00FF15E0" w:rsidRPr="00FF15E0" w:rsidRDefault="00FF15E0" w:rsidP="00FF15E0">
    <w:pPr>
      <w:pStyle w:val="Footer"/>
      <w:rPr>
        <w:rFonts w:ascii="Arial" w:hAnsi="Arial" w:cs="Arial"/>
        <w:sz w:val="16"/>
      </w:rPr>
    </w:pPr>
    <w:r>
      <w:rPr>
        <w:rFonts w:ascii="Arial" w:hAnsi="Arial" w:cs="Arial"/>
        <w:sz w:val="16"/>
      </w:rPr>
      <w:fldChar w:fldCharType="begin" w:fldLock="1"/>
    </w:r>
    <w:r>
      <w:rPr>
        <w:rFonts w:ascii="Arial" w:hAnsi="Arial" w:cs="Arial"/>
        <w:sz w:val="16"/>
      </w:rPr>
      <w:instrText xml:space="preserve"> DOCVARIABLE  ndGeneratedStamp </w:instrText>
    </w:r>
    <w:r w:rsidR="00000000">
      <w:rPr>
        <w:rFonts w:ascii="Arial" w:hAnsi="Arial" w:cs="Arial"/>
        <w:sz w:val="16"/>
      </w:rPr>
      <w:fldChar w:fldCharType="separate"/>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94F7E6" w14:textId="77777777" w:rsidR="00B761B9" w:rsidRDefault="00B761B9" w:rsidP="00FF15E0">
      <w:pPr>
        <w:spacing w:after="0" w:line="240" w:lineRule="auto"/>
      </w:pPr>
      <w:r>
        <w:separator/>
      </w:r>
    </w:p>
  </w:footnote>
  <w:footnote w:type="continuationSeparator" w:id="0">
    <w:p w14:paraId="766FBE33" w14:textId="77777777" w:rsidR="00B761B9" w:rsidRDefault="00B761B9" w:rsidP="00FF1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E45E7" w14:textId="62B46EF2" w:rsidR="00FF15E0" w:rsidRDefault="00B83DEE">
    <w:pPr>
      <w:pStyle w:val="Header"/>
    </w:pPr>
    <w:r>
      <w:rPr>
        <w:noProof/>
      </w:rPr>
      <mc:AlternateContent>
        <mc:Choice Requires="wps">
          <w:drawing>
            <wp:anchor distT="0" distB="0" distL="114300" distR="114300" simplePos="0" relativeHeight="251659264" behindDoc="1" locked="0" layoutInCell="1" allowOverlap="1" wp14:anchorId="3724AE53" wp14:editId="13ABB602">
              <wp:simplePos x="0" y="0"/>
              <wp:positionH relativeFrom="page">
                <wp:align>right</wp:align>
              </wp:positionH>
              <wp:positionV relativeFrom="paragraph">
                <wp:posOffset>-457200</wp:posOffset>
              </wp:positionV>
              <wp:extent cx="8011160" cy="1152525"/>
              <wp:effectExtent l="0" t="0" r="8890" b="9525"/>
              <wp:wrapNone/>
              <wp:docPr id="91" name="Rectangle 91"/>
              <wp:cNvGraphicFramePr/>
              <a:graphic xmlns:a="http://schemas.openxmlformats.org/drawingml/2006/main">
                <a:graphicData uri="http://schemas.microsoft.com/office/word/2010/wordprocessingShape">
                  <wps:wsp>
                    <wps:cNvSpPr/>
                    <wps:spPr>
                      <a:xfrm>
                        <a:off x="0" y="0"/>
                        <a:ext cx="8011160" cy="1152525"/>
                      </a:xfrm>
                      <a:prstGeom prst="rect">
                        <a:avLst/>
                      </a:prstGeom>
                      <a:solidFill>
                        <a:srgbClr val="003C56"/>
                      </a:solidFill>
                      <a:ln>
                        <a:noFill/>
                      </a:ln>
                      <a:effectLst/>
                      <a:extLst>
                        <a:ext uri="{FAA26D3D-D897-4be2-8F04-BA451C77F1D7}">
                          <ma14:placeholder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1">
                        <a:schemeClr val="accent1"/>
                      </a:lnRef>
                      <a:fillRef idx="3">
                        <a:schemeClr val="accent1"/>
                      </a:fillRef>
                      <a:effectRef idx="2">
                        <a:schemeClr val="accent1"/>
                      </a:effectRef>
                      <a:fontRef idx="minor">
                        <a:schemeClr val="lt1"/>
                      </a:fontRef>
                    </wps:style>
                    <wps:txbx>
                      <w:txbxContent>
                        <w:p w14:paraId="6D56250E" w14:textId="3B5391F2" w:rsidR="00AD6458" w:rsidRPr="000F6C9D" w:rsidRDefault="00AD6458" w:rsidP="00AD6458">
                          <w:pPr>
                            <w:ind w:left="1440" w:firstLine="720"/>
                            <w:rPr>
                              <w:rFonts w:ascii="Roboto" w:hAnsi="Roboto" w:cs="Arial"/>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4AE53" id="Rectangle 91" o:spid="_x0000_s1027" style="position:absolute;margin-left:579.6pt;margin-top:-36pt;width:630.8pt;height:90.7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" fillcolor="#003c56" stroked="f" strokeweight=".5pt">
              <v:textbox>
                <w:txbxContent>
                  <w:p w14:paraId="6D56250E" w14:textId="3B5391F2" w:rsidR="00AD6458" w:rsidRPr="000F6C9D" w:rsidRDefault="00AD6458" w:rsidP="00AD6458">
                    <w:pPr>
                      <w:ind w:left="1440" w:firstLine="720"/>
                      <w:rPr>
                        <w:rFonts w:ascii="Roboto" w:hAnsi="Roboto" w:cs="Arial"/>
                        <w:sz w:val="44"/>
                        <w:szCs w:val="44"/>
                      </w:rPr>
                    </w:pPr>
                  </w:p>
                </w:txbxContent>
              </v:textbox>
              <w10:wrap anchorx="page"/>
            </v:rect>
          </w:pict>
        </mc:Fallback>
      </mc:AlternateContent>
    </w:r>
    <w:r>
      <w:rPr>
        <w:noProof/>
      </w:rPr>
      <w:drawing>
        <wp:anchor distT="0" distB="0" distL="114300" distR="114300" simplePos="0" relativeHeight="251660288" behindDoc="1" locked="0" layoutInCell="1" allowOverlap="1" wp14:anchorId="2251C7B9" wp14:editId="16B30D8D">
          <wp:simplePos x="0" y="0"/>
          <wp:positionH relativeFrom="column">
            <wp:posOffset>-1123950</wp:posOffset>
          </wp:positionH>
          <wp:positionV relativeFrom="paragraph">
            <wp:posOffset>-921385</wp:posOffset>
          </wp:positionV>
          <wp:extent cx="1692910" cy="1692910"/>
          <wp:effectExtent l="0" t="0" r="0" b="0"/>
          <wp:wrapTight wrapText="bothSides">
            <wp:wrapPolygon edited="0">
              <wp:start x="10209" y="1944"/>
              <wp:lineTo x="486" y="5590"/>
              <wp:lineTo x="486" y="8750"/>
              <wp:lineTo x="1215" y="10209"/>
              <wp:lineTo x="2431" y="10209"/>
              <wp:lineTo x="729" y="11910"/>
              <wp:lineTo x="486" y="15556"/>
              <wp:lineTo x="4618" y="17986"/>
              <wp:lineTo x="7049" y="17986"/>
              <wp:lineTo x="9965" y="18959"/>
              <wp:lineTo x="10209" y="19445"/>
              <wp:lineTo x="11181" y="19445"/>
              <wp:lineTo x="11424" y="18959"/>
              <wp:lineTo x="14341" y="17986"/>
              <wp:lineTo x="16771" y="17986"/>
              <wp:lineTo x="21146" y="15556"/>
              <wp:lineTo x="20660" y="11910"/>
              <wp:lineTo x="19202" y="10209"/>
              <wp:lineTo x="20174" y="10209"/>
              <wp:lineTo x="21146" y="8264"/>
              <wp:lineTo x="21146" y="5833"/>
              <wp:lineTo x="17257" y="4132"/>
              <wp:lineTo x="11181" y="1944"/>
              <wp:lineTo x="10209" y="1944"/>
            </wp:wrapPolygon>
          </wp:wrapTight>
          <wp:docPr id="2" name="Picture 1" descr="A picture containing line, graphics,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line, graphics, screenshot, design&#10;&#10;Description automatically generated"/>
                  <pic:cNvPicPr>
                    <a:picLocks noChangeAspect="1"/>
                  </pic:cNvPicPr>
                </pic:nvPicPr>
                <pic:blipFill>
                  <a:blip r:embed="rId1">
                    <a:alphaModFix amt="59000"/>
                    <a:extLst>
                      <a:ext uri="{28A0092B-C50C-407E-A947-70E740481C1C}">
                        <a14:useLocalDpi xmlns:a14="http://schemas.microsoft.com/office/drawing/2010/main" val="0"/>
                      </a:ext>
                    </a:extLst>
                  </a:blip>
                  <a:stretch>
                    <a:fillRect/>
                  </a:stretch>
                </pic:blipFill>
                <pic:spPr>
                  <a:xfrm>
                    <a:off x="0" y="0"/>
                    <a:ext cx="1692910" cy="1692910"/>
                  </a:xfrm>
                  <a:prstGeom prst="rect">
                    <a:avLst/>
                  </a:prstGeom>
                  <a:extLst>
                    <a:ext uri="{FAA26D3D-D897-4be2-8F04-BA451C77F1D7}">
                      <ma14:placeholderFlag xmlns:lc="http://schemas.openxmlformats.org/drawingml/2006/lockedCanvas"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6458">
      <w:rPr>
        <w:noProof/>
      </w:rPr>
      <mc:AlternateContent>
        <mc:Choice Requires="wps">
          <w:drawing>
            <wp:anchor distT="0" distB="0" distL="114300" distR="114300" simplePos="0" relativeHeight="251661312" behindDoc="0" locked="0" layoutInCell="1" allowOverlap="1" wp14:anchorId="659B954B" wp14:editId="536578F9">
              <wp:simplePos x="0" y="0"/>
              <wp:positionH relativeFrom="column">
                <wp:posOffset>5219700</wp:posOffset>
              </wp:positionH>
              <wp:positionV relativeFrom="paragraph">
                <wp:posOffset>771525</wp:posOffset>
              </wp:positionV>
              <wp:extent cx="1447800" cy="409575"/>
              <wp:effectExtent l="0" t="0" r="0" b="0"/>
              <wp:wrapNone/>
              <wp:docPr id="483083638" name="Text Box 1"/>
              <wp:cNvGraphicFramePr/>
              <a:graphic xmlns:a="http://schemas.openxmlformats.org/drawingml/2006/main">
                <a:graphicData uri="http://schemas.microsoft.com/office/word/2010/wordprocessingShape">
                  <wps:wsp>
                    <wps:cNvSpPr txBox="1"/>
                    <wps:spPr>
                      <a:xfrm>
                        <a:off x="0" y="0"/>
                        <a:ext cx="1447800" cy="409575"/>
                      </a:xfrm>
                      <a:prstGeom prst="rect">
                        <a:avLst/>
                      </a:prstGeom>
                      <a:noFill/>
                      <a:ln w="6350">
                        <a:noFill/>
                      </a:ln>
                    </wps:spPr>
                    <wps:txbx>
                      <w:txbxContent>
                        <w:p w14:paraId="2A0FB829" w14:textId="243C1D2C" w:rsidR="00AD6458" w:rsidRPr="00AD6458" w:rsidRDefault="00AD6458" w:rsidP="00AD6458">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9B954B" id="_x0000_t202" coordsize="21600,21600" o:spt="202" path="m,l,21600r21600,l21600,xe">
              <v:stroke joinstyle="miter"/>
              <v:path gradientshapeok="t" o:connecttype="rect"/>
            </v:shapetype>
            <v:shape id="Text Box 1" o:spid="_x0000_s1028" type="#_x0000_t202" style="position:absolute;margin-left:411pt;margin-top:60.75pt;width:114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" filled="f" stroked="f" strokeweight=".5pt">
              <v:textbox>
                <w:txbxContent>
                  <w:p w14:paraId="2A0FB829" w14:textId="243C1D2C" w:rsidR="00AD6458" w:rsidRPr="00AD6458" w:rsidRDefault="00AD6458" w:rsidP="00AD6458">
                    <w:pPr>
                      <w:jc w:val="center"/>
                      <w:rPr>
                        <w:color w:val="FFFFFF" w:themeColor="background1"/>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FB694" w14:textId="134DCF73" w:rsidR="00B83DEE" w:rsidRDefault="00B83DEE">
    <w:pPr>
      <w:pStyle w:val="Header"/>
    </w:pPr>
    <w:r>
      <w:rPr>
        <w:noProof/>
      </w:rPr>
      <w:drawing>
        <wp:anchor distT="0" distB="0" distL="114300" distR="114300" simplePos="0" relativeHeight="251665408" behindDoc="0" locked="0" layoutInCell="1" allowOverlap="1" wp14:anchorId="10EE5F73" wp14:editId="5F5A782B">
          <wp:simplePos x="0" y="0"/>
          <wp:positionH relativeFrom="column">
            <wp:posOffset>-742950</wp:posOffset>
          </wp:positionH>
          <wp:positionV relativeFrom="paragraph">
            <wp:posOffset>-457200</wp:posOffset>
          </wp:positionV>
          <wp:extent cx="1800225" cy="1800225"/>
          <wp:effectExtent l="0" t="0" r="0" b="0"/>
          <wp:wrapNone/>
          <wp:docPr id="1936493101" name="Picture 1" descr="A picture containing line, graphics,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line, graphics, screenshot, design&#10;&#10;Description automatically generated"/>
                  <pic:cNvPicPr>
                    <a:picLocks noChangeAspect="1"/>
                  </pic:cNvPicPr>
                </pic:nvPicPr>
                <pic:blipFill>
                  <a:blip r:embed="rId1">
                    <a:alphaModFix amt="59000"/>
                    <a:extLst>
                      <a:ext uri="{28A0092B-C50C-407E-A947-70E740481C1C}">
                        <a14:useLocalDpi xmlns:a14="http://schemas.microsoft.com/office/drawing/2010/main" val="0"/>
                      </a:ext>
                    </a:extLst>
                  </a:blip>
                  <a:stretch>
                    <a:fillRect/>
                  </a:stretch>
                </pic:blipFill>
                <pic:spPr>
                  <a:xfrm>
                    <a:off x="0" y="0"/>
                    <a:ext cx="1800225" cy="1800225"/>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lc="http://schemas.openxmlformats.org/drawingml/2006/lockedCanvas"/>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1" locked="0" layoutInCell="1" allowOverlap="1" wp14:anchorId="22F82333" wp14:editId="77FE89AF">
              <wp:simplePos x="0" y="0"/>
              <wp:positionH relativeFrom="page">
                <wp:align>right</wp:align>
              </wp:positionH>
              <wp:positionV relativeFrom="paragraph">
                <wp:posOffset>-457200</wp:posOffset>
              </wp:positionV>
              <wp:extent cx="8011235" cy="1819275"/>
              <wp:effectExtent l="0" t="0" r="8890" b="9525"/>
              <wp:wrapNone/>
              <wp:docPr id="959065123" name="Rectangle 959065123"/>
              <wp:cNvGraphicFramePr/>
              <a:graphic xmlns:a="http://schemas.openxmlformats.org/drawingml/2006/main">
                <a:graphicData uri="http://schemas.microsoft.com/office/word/2010/wordprocessingShape">
                  <wps:wsp>
                    <wps:cNvSpPr/>
                    <wps:spPr>
                      <a:xfrm>
                        <a:off x="0" y="0"/>
                        <a:ext cx="8011235" cy="1819275"/>
                      </a:xfrm>
                      <a:prstGeom prst="rect">
                        <a:avLst/>
                      </a:prstGeom>
                      <a:solidFill>
                        <a:srgbClr val="003C56"/>
                      </a:solidFill>
                      <a:ln>
                        <a:noFill/>
                      </a:ln>
                      <a:effectLst/>
                      <a:extLst>
                        <a:ext uri="{FAA26D3D-D897-4be2-8F04-BA451C77F1D7}">
                          <ma14:placeholder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1">
                        <a:schemeClr val="accent1"/>
                      </a:lnRef>
                      <a:fillRef idx="3">
                        <a:schemeClr val="accent1"/>
                      </a:fillRef>
                      <a:effectRef idx="2">
                        <a:schemeClr val="accent1"/>
                      </a:effectRef>
                      <a:fontRef idx="minor">
                        <a:schemeClr val="lt1"/>
                      </a:fontRef>
                    </wps:style>
                    <wps:txbx>
                      <w:txbxContent>
                        <w:p w14:paraId="5AB90085" w14:textId="72B3CFC9" w:rsidR="00B83DEE" w:rsidRPr="00C6606A" w:rsidRDefault="00614E05" w:rsidP="00D46C6B">
                          <w:pPr>
                            <w:ind w:left="2160"/>
                            <w:rPr>
                              <w:rFonts w:ascii="Roboto Black" w:hAnsi="Roboto Black" w:cs="Arial"/>
                              <w:sz w:val="36"/>
                              <w:szCs w:val="36"/>
                            </w:rPr>
                          </w:pPr>
                          <w:r w:rsidRPr="00C6606A">
                            <w:rPr>
                              <w:rFonts w:ascii="Roboto Black" w:hAnsi="Roboto Black" w:cs="Arial"/>
                              <w:sz w:val="36"/>
                              <w:szCs w:val="36"/>
                            </w:rPr>
                            <w:t>4 Roth Strategies to Utilize Before the Tax Cuts and Jobs Act Sunsets in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82333" id="Rectangle 959065123" o:spid="_x0000_s1029" style="position:absolute;margin-left:579.6pt;margin-top:-36pt;width:630.8pt;height:143.25pt;z-index:-25165209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" fillcolor="#003c56" stroked="f" strokeweight=".5pt">
              <v:textbox>
                <w:txbxContent>
                  <w:p w14:paraId="5AB90085" w14:textId="72B3CFC9" w:rsidR="00B83DEE" w:rsidRPr="00C6606A" w:rsidRDefault="00614E05" w:rsidP="00D46C6B">
                    <w:pPr>
                      <w:ind w:left="2160"/>
                      <w:rPr>
                        <w:rFonts w:ascii="Roboto Black" w:hAnsi="Roboto Black" w:cs="Arial"/>
                        <w:sz w:val="36"/>
                        <w:szCs w:val="36"/>
                      </w:rPr>
                    </w:pPr>
                    <w:r w:rsidRPr="00C6606A">
                      <w:rPr>
                        <w:rFonts w:ascii="Roboto Black" w:hAnsi="Roboto Black" w:cs="Arial"/>
                        <w:sz w:val="36"/>
                        <w:szCs w:val="36"/>
                      </w:rPr>
                      <w:t>4 Roth Strategies to Utilize Before the Tax Cuts and Jobs Act Sunsets in 2025</w:t>
                    </w: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16A08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86A07F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896DA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FEAA9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F883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0F8644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4A80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26D4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34CA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28D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DCE7412"/>
    <w:multiLevelType w:val="multilevel"/>
    <w:tmpl w:val="2A901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E14077"/>
    <w:multiLevelType w:val="hybridMultilevel"/>
    <w:tmpl w:val="30CA0CC6"/>
    <w:lvl w:ilvl="0" w:tplc="A4C0DE0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872563">
    <w:abstractNumId w:val="9"/>
  </w:num>
  <w:num w:numId="2" w16cid:durableId="1524901649">
    <w:abstractNumId w:val="7"/>
  </w:num>
  <w:num w:numId="3" w16cid:durableId="161438337">
    <w:abstractNumId w:val="6"/>
  </w:num>
  <w:num w:numId="4" w16cid:durableId="456264953">
    <w:abstractNumId w:val="5"/>
  </w:num>
  <w:num w:numId="5" w16cid:durableId="395713329">
    <w:abstractNumId w:val="4"/>
  </w:num>
  <w:num w:numId="6" w16cid:durableId="1177774104">
    <w:abstractNumId w:val="8"/>
  </w:num>
  <w:num w:numId="7" w16cid:durableId="62337189">
    <w:abstractNumId w:val="3"/>
  </w:num>
  <w:num w:numId="8" w16cid:durableId="1353796644">
    <w:abstractNumId w:val="2"/>
  </w:num>
  <w:num w:numId="9" w16cid:durableId="1611014552">
    <w:abstractNumId w:val="1"/>
  </w:num>
  <w:num w:numId="10" w16cid:durableId="1859076313">
    <w:abstractNumId w:val="0"/>
  </w:num>
  <w:num w:numId="11" w16cid:durableId="1558584450">
    <w:abstractNumId w:val="11"/>
  </w:num>
  <w:num w:numId="12" w16cid:durableId="6106679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881-8002-9549, v.1"/>
  </w:docVars>
  <w:rsids>
    <w:rsidRoot w:val="000C23AF"/>
    <w:rsid w:val="000029DC"/>
    <w:rsid w:val="0000456A"/>
    <w:rsid w:val="00005D6B"/>
    <w:rsid w:val="0001198F"/>
    <w:rsid w:val="00015D70"/>
    <w:rsid w:val="0001720E"/>
    <w:rsid w:val="00021DA4"/>
    <w:rsid w:val="00022EAD"/>
    <w:rsid w:val="00023FD7"/>
    <w:rsid w:val="00030EE0"/>
    <w:rsid w:val="00031AE0"/>
    <w:rsid w:val="00034D87"/>
    <w:rsid w:val="00037747"/>
    <w:rsid w:val="00044034"/>
    <w:rsid w:val="00045873"/>
    <w:rsid w:val="0004663A"/>
    <w:rsid w:val="00047701"/>
    <w:rsid w:val="00053D70"/>
    <w:rsid w:val="00053E1D"/>
    <w:rsid w:val="000579AF"/>
    <w:rsid w:val="00062A75"/>
    <w:rsid w:val="00063DAC"/>
    <w:rsid w:val="0006652F"/>
    <w:rsid w:val="000710C4"/>
    <w:rsid w:val="00071566"/>
    <w:rsid w:val="0007538B"/>
    <w:rsid w:val="00077D98"/>
    <w:rsid w:val="0008028F"/>
    <w:rsid w:val="00080793"/>
    <w:rsid w:val="00082107"/>
    <w:rsid w:val="00083B80"/>
    <w:rsid w:val="000846FC"/>
    <w:rsid w:val="000879F2"/>
    <w:rsid w:val="00092D99"/>
    <w:rsid w:val="00094C2F"/>
    <w:rsid w:val="000A136A"/>
    <w:rsid w:val="000A5418"/>
    <w:rsid w:val="000B015D"/>
    <w:rsid w:val="000B1D06"/>
    <w:rsid w:val="000B299C"/>
    <w:rsid w:val="000B3485"/>
    <w:rsid w:val="000B37A8"/>
    <w:rsid w:val="000B5AA7"/>
    <w:rsid w:val="000B607B"/>
    <w:rsid w:val="000B6E84"/>
    <w:rsid w:val="000C23AF"/>
    <w:rsid w:val="000C7D93"/>
    <w:rsid w:val="000D492B"/>
    <w:rsid w:val="000D54EB"/>
    <w:rsid w:val="000D6442"/>
    <w:rsid w:val="000E3030"/>
    <w:rsid w:val="000E3A6A"/>
    <w:rsid w:val="000E3F2D"/>
    <w:rsid w:val="000E56DD"/>
    <w:rsid w:val="000E675F"/>
    <w:rsid w:val="000E7A70"/>
    <w:rsid w:val="000F298E"/>
    <w:rsid w:val="000F354C"/>
    <w:rsid w:val="000F3D5C"/>
    <w:rsid w:val="000F4F70"/>
    <w:rsid w:val="000F5E95"/>
    <w:rsid w:val="000F69BF"/>
    <w:rsid w:val="000F6C9D"/>
    <w:rsid w:val="00102B17"/>
    <w:rsid w:val="00103776"/>
    <w:rsid w:val="00103E32"/>
    <w:rsid w:val="00104344"/>
    <w:rsid w:val="00105FD3"/>
    <w:rsid w:val="00106B8D"/>
    <w:rsid w:val="001105B0"/>
    <w:rsid w:val="00110792"/>
    <w:rsid w:val="00112785"/>
    <w:rsid w:val="0011625C"/>
    <w:rsid w:val="00117034"/>
    <w:rsid w:val="00117B2C"/>
    <w:rsid w:val="0012052A"/>
    <w:rsid w:val="00120735"/>
    <w:rsid w:val="00122CAE"/>
    <w:rsid w:val="001354AC"/>
    <w:rsid w:val="0013621F"/>
    <w:rsid w:val="00136D1D"/>
    <w:rsid w:val="00141DC4"/>
    <w:rsid w:val="00142822"/>
    <w:rsid w:val="00143071"/>
    <w:rsid w:val="0014675E"/>
    <w:rsid w:val="0014793B"/>
    <w:rsid w:val="0016212A"/>
    <w:rsid w:val="001641DB"/>
    <w:rsid w:val="001656FA"/>
    <w:rsid w:val="00170DAE"/>
    <w:rsid w:val="00171CE0"/>
    <w:rsid w:val="001725B5"/>
    <w:rsid w:val="00176D8A"/>
    <w:rsid w:val="001805B7"/>
    <w:rsid w:val="001814E6"/>
    <w:rsid w:val="00191F05"/>
    <w:rsid w:val="001927B9"/>
    <w:rsid w:val="00194700"/>
    <w:rsid w:val="001A161E"/>
    <w:rsid w:val="001A178A"/>
    <w:rsid w:val="001A1F8F"/>
    <w:rsid w:val="001A481E"/>
    <w:rsid w:val="001A504A"/>
    <w:rsid w:val="001A775C"/>
    <w:rsid w:val="001B0DE9"/>
    <w:rsid w:val="001C5C50"/>
    <w:rsid w:val="001C7D5F"/>
    <w:rsid w:val="001D08F2"/>
    <w:rsid w:val="001D2A9B"/>
    <w:rsid w:val="001D374B"/>
    <w:rsid w:val="001D7220"/>
    <w:rsid w:val="001E0B66"/>
    <w:rsid w:val="001E3C4A"/>
    <w:rsid w:val="001E51A9"/>
    <w:rsid w:val="001E6340"/>
    <w:rsid w:val="001E7773"/>
    <w:rsid w:val="001E7CD2"/>
    <w:rsid w:val="001F19A8"/>
    <w:rsid w:val="001F223D"/>
    <w:rsid w:val="001F3842"/>
    <w:rsid w:val="001F3E58"/>
    <w:rsid w:val="00200282"/>
    <w:rsid w:val="002012BC"/>
    <w:rsid w:val="00201DAE"/>
    <w:rsid w:val="0020442F"/>
    <w:rsid w:val="00204627"/>
    <w:rsid w:val="00204B82"/>
    <w:rsid w:val="002061F7"/>
    <w:rsid w:val="00206655"/>
    <w:rsid w:val="00210397"/>
    <w:rsid w:val="0021084F"/>
    <w:rsid w:val="002114AC"/>
    <w:rsid w:val="002114FA"/>
    <w:rsid w:val="00213546"/>
    <w:rsid w:val="00213E92"/>
    <w:rsid w:val="00214FE4"/>
    <w:rsid w:val="0022749E"/>
    <w:rsid w:val="00237171"/>
    <w:rsid w:val="00243088"/>
    <w:rsid w:val="0024474F"/>
    <w:rsid w:val="00244EB2"/>
    <w:rsid w:val="0024563D"/>
    <w:rsid w:val="00256E73"/>
    <w:rsid w:val="002639AC"/>
    <w:rsid w:val="002661C3"/>
    <w:rsid w:val="0027407D"/>
    <w:rsid w:val="002744A3"/>
    <w:rsid w:val="002748D6"/>
    <w:rsid w:val="002760A4"/>
    <w:rsid w:val="002841B3"/>
    <w:rsid w:val="002857AD"/>
    <w:rsid w:val="00286309"/>
    <w:rsid w:val="00290A95"/>
    <w:rsid w:val="002910B4"/>
    <w:rsid w:val="002930DF"/>
    <w:rsid w:val="00293DD2"/>
    <w:rsid w:val="002A25D2"/>
    <w:rsid w:val="002A373F"/>
    <w:rsid w:val="002A42AE"/>
    <w:rsid w:val="002A6685"/>
    <w:rsid w:val="002A7895"/>
    <w:rsid w:val="002B0D0D"/>
    <w:rsid w:val="002B55A5"/>
    <w:rsid w:val="002B6788"/>
    <w:rsid w:val="002C17F6"/>
    <w:rsid w:val="002C4D21"/>
    <w:rsid w:val="002C5F52"/>
    <w:rsid w:val="002C7831"/>
    <w:rsid w:val="002D2AE4"/>
    <w:rsid w:val="002D35DE"/>
    <w:rsid w:val="002D4367"/>
    <w:rsid w:val="002E5D21"/>
    <w:rsid w:val="002E7861"/>
    <w:rsid w:val="002F0763"/>
    <w:rsid w:val="002F3D1D"/>
    <w:rsid w:val="002F427E"/>
    <w:rsid w:val="002F612C"/>
    <w:rsid w:val="00302B3C"/>
    <w:rsid w:val="0030440D"/>
    <w:rsid w:val="0030647E"/>
    <w:rsid w:val="0030700E"/>
    <w:rsid w:val="0031344C"/>
    <w:rsid w:val="00324456"/>
    <w:rsid w:val="003253A1"/>
    <w:rsid w:val="00326631"/>
    <w:rsid w:val="00332655"/>
    <w:rsid w:val="00332C77"/>
    <w:rsid w:val="00334CDD"/>
    <w:rsid w:val="0033615F"/>
    <w:rsid w:val="0034268D"/>
    <w:rsid w:val="003453E0"/>
    <w:rsid w:val="003455B3"/>
    <w:rsid w:val="00347318"/>
    <w:rsid w:val="00350DFE"/>
    <w:rsid w:val="00352114"/>
    <w:rsid w:val="00352880"/>
    <w:rsid w:val="00360E53"/>
    <w:rsid w:val="00363019"/>
    <w:rsid w:val="0036321B"/>
    <w:rsid w:val="00363943"/>
    <w:rsid w:val="003648E4"/>
    <w:rsid w:val="0036528A"/>
    <w:rsid w:val="0036563A"/>
    <w:rsid w:val="0036607D"/>
    <w:rsid w:val="00370B5A"/>
    <w:rsid w:val="00374FD5"/>
    <w:rsid w:val="00380168"/>
    <w:rsid w:val="00382278"/>
    <w:rsid w:val="003823FF"/>
    <w:rsid w:val="0038597C"/>
    <w:rsid w:val="00393B0F"/>
    <w:rsid w:val="0039523B"/>
    <w:rsid w:val="00395719"/>
    <w:rsid w:val="003A4491"/>
    <w:rsid w:val="003A6EE4"/>
    <w:rsid w:val="003A7C2E"/>
    <w:rsid w:val="003B157E"/>
    <w:rsid w:val="003B210A"/>
    <w:rsid w:val="003B2773"/>
    <w:rsid w:val="003B66D7"/>
    <w:rsid w:val="003B686C"/>
    <w:rsid w:val="003C592D"/>
    <w:rsid w:val="003D077A"/>
    <w:rsid w:val="003D78D5"/>
    <w:rsid w:val="003D7DD4"/>
    <w:rsid w:val="003E424F"/>
    <w:rsid w:val="003E7EDA"/>
    <w:rsid w:val="003F2F7E"/>
    <w:rsid w:val="003F3F82"/>
    <w:rsid w:val="003F5E67"/>
    <w:rsid w:val="00403CF1"/>
    <w:rsid w:val="0040439B"/>
    <w:rsid w:val="0040630E"/>
    <w:rsid w:val="004141D9"/>
    <w:rsid w:val="00422A26"/>
    <w:rsid w:val="00423949"/>
    <w:rsid w:val="004312C6"/>
    <w:rsid w:val="00436F39"/>
    <w:rsid w:val="00437A97"/>
    <w:rsid w:val="00437B5D"/>
    <w:rsid w:val="004428AE"/>
    <w:rsid w:val="0044306F"/>
    <w:rsid w:val="00445620"/>
    <w:rsid w:val="00447A14"/>
    <w:rsid w:val="004511DA"/>
    <w:rsid w:val="004560A0"/>
    <w:rsid w:val="004565FC"/>
    <w:rsid w:val="004634B6"/>
    <w:rsid w:val="00465FAC"/>
    <w:rsid w:val="00466365"/>
    <w:rsid w:val="00474F6E"/>
    <w:rsid w:val="0047523D"/>
    <w:rsid w:val="00490F9F"/>
    <w:rsid w:val="004A05DD"/>
    <w:rsid w:val="004A20DE"/>
    <w:rsid w:val="004A5940"/>
    <w:rsid w:val="004A7F2F"/>
    <w:rsid w:val="004B0C8E"/>
    <w:rsid w:val="004B0E2D"/>
    <w:rsid w:val="004B12F4"/>
    <w:rsid w:val="004B4612"/>
    <w:rsid w:val="004B4EE3"/>
    <w:rsid w:val="004B6315"/>
    <w:rsid w:val="004B7028"/>
    <w:rsid w:val="004C2AF5"/>
    <w:rsid w:val="004C369B"/>
    <w:rsid w:val="004C3CE4"/>
    <w:rsid w:val="004C441B"/>
    <w:rsid w:val="004C44F1"/>
    <w:rsid w:val="004D02C6"/>
    <w:rsid w:val="004D4C8F"/>
    <w:rsid w:val="004D62BC"/>
    <w:rsid w:val="004D7337"/>
    <w:rsid w:val="004E4BA2"/>
    <w:rsid w:val="004E51A7"/>
    <w:rsid w:val="004E52E6"/>
    <w:rsid w:val="004E5B37"/>
    <w:rsid w:val="004F089B"/>
    <w:rsid w:val="004F296A"/>
    <w:rsid w:val="004F37EB"/>
    <w:rsid w:val="004F3D89"/>
    <w:rsid w:val="004F496B"/>
    <w:rsid w:val="00503AF5"/>
    <w:rsid w:val="00504005"/>
    <w:rsid w:val="0050491F"/>
    <w:rsid w:val="00513C92"/>
    <w:rsid w:val="00514A33"/>
    <w:rsid w:val="005254C7"/>
    <w:rsid w:val="005267D7"/>
    <w:rsid w:val="0053032D"/>
    <w:rsid w:val="005309ED"/>
    <w:rsid w:val="00532A2D"/>
    <w:rsid w:val="00533A26"/>
    <w:rsid w:val="00533D18"/>
    <w:rsid w:val="005345D9"/>
    <w:rsid w:val="00540618"/>
    <w:rsid w:val="005442B5"/>
    <w:rsid w:val="00556C43"/>
    <w:rsid w:val="00557D9E"/>
    <w:rsid w:val="00557FFD"/>
    <w:rsid w:val="00560253"/>
    <w:rsid w:val="00561A57"/>
    <w:rsid w:val="00565F66"/>
    <w:rsid w:val="005673C0"/>
    <w:rsid w:val="00572FA6"/>
    <w:rsid w:val="00573377"/>
    <w:rsid w:val="00576E32"/>
    <w:rsid w:val="00580EE5"/>
    <w:rsid w:val="00581D94"/>
    <w:rsid w:val="0058366E"/>
    <w:rsid w:val="00591E8E"/>
    <w:rsid w:val="00595431"/>
    <w:rsid w:val="00595E97"/>
    <w:rsid w:val="00595F93"/>
    <w:rsid w:val="005A30F0"/>
    <w:rsid w:val="005A3C6F"/>
    <w:rsid w:val="005A45D2"/>
    <w:rsid w:val="005A494E"/>
    <w:rsid w:val="005B3EDF"/>
    <w:rsid w:val="005B40B5"/>
    <w:rsid w:val="005B76E9"/>
    <w:rsid w:val="005C00DB"/>
    <w:rsid w:val="005C5348"/>
    <w:rsid w:val="005C5CE0"/>
    <w:rsid w:val="005C69A7"/>
    <w:rsid w:val="005C7B33"/>
    <w:rsid w:val="005D1790"/>
    <w:rsid w:val="005D18E9"/>
    <w:rsid w:val="005E1779"/>
    <w:rsid w:val="005E2D68"/>
    <w:rsid w:val="005F2260"/>
    <w:rsid w:val="005F31E0"/>
    <w:rsid w:val="005F39BA"/>
    <w:rsid w:val="0060253D"/>
    <w:rsid w:val="006030FA"/>
    <w:rsid w:val="0060322F"/>
    <w:rsid w:val="00603707"/>
    <w:rsid w:val="006038CB"/>
    <w:rsid w:val="0060680B"/>
    <w:rsid w:val="00607F88"/>
    <w:rsid w:val="0061093D"/>
    <w:rsid w:val="00611DAF"/>
    <w:rsid w:val="00611F6A"/>
    <w:rsid w:val="00613DDF"/>
    <w:rsid w:val="00614E05"/>
    <w:rsid w:val="00623385"/>
    <w:rsid w:val="00625141"/>
    <w:rsid w:val="0063249B"/>
    <w:rsid w:val="00634B32"/>
    <w:rsid w:val="00634B95"/>
    <w:rsid w:val="00634C76"/>
    <w:rsid w:val="006364A7"/>
    <w:rsid w:val="006424F5"/>
    <w:rsid w:val="00642D44"/>
    <w:rsid w:val="0064471D"/>
    <w:rsid w:val="00645380"/>
    <w:rsid w:val="00653F99"/>
    <w:rsid w:val="0065475C"/>
    <w:rsid w:val="00654E25"/>
    <w:rsid w:val="00657589"/>
    <w:rsid w:val="0066284D"/>
    <w:rsid w:val="006644C6"/>
    <w:rsid w:val="00665417"/>
    <w:rsid w:val="006753C9"/>
    <w:rsid w:val="00676CD8"/>
    <w:rsid w:val="006803DB"/>
    <w:rsid w:val="006814A2"/>
    <w:rsid w:val="00681DB2"/>
    <w:rsid w:val="00682607"/>
    <w:rsid w:val="006854C8"/>
    <w:rsid w:val="00686ACA"/>
    <w:rsid w:val="0068783C"/>
    <w:rsid w:val="006912D4"/>
    <w:rsid w:val="00691E82"/>
    <w:rsid w:val="0069506F"/>
    <w:rsid w:val="00695A01"/>
    <w:rsid w:val="006966AD"/>
    <w:rsid w:val="006A27BA"/>
    <w:rsid w:val="006A2A38"/>
    <w:rsid w:val="006B16C7"/>
    <w:rsid w:val="006B41C0"/>
    <w:rsid w:val="006B76BE"/>
    <w:rsid w:val="006C6CBA"/>
    <w:rsid w:val="006C6F84"/>
    <w:rsid w:val="006D162F"/>
    <w:rsid w:val="006D3CA2"/>
    <w:rsid w:val="006D576C"/>
    <w:rsid w:val="006D769C"/>
    <w:rsid w:val="006E07E9"/>
    <w:rsid w:val="006E0D25"/>
    <w:rsid w:val="006E48A1"/>
    <w:rsid w:val="006E4E0B"/>
    <w:rsid w:val="006E5248"/>
    <w:rsid w:val="006E53B8"/>
    <w:rsid w:val="006E594B"/>
    <w:rsid w:val="006E5A0D"/>
    <w:rsid w:val="006E63D9"/>
    <w:rsid w:val="006F2790"/>
    <w:rsid w:val="006F33AD"/>
    <w:rsid w:val="006F46F4"/>
    <w:rsid w:val="006F558B"/>
    <w:rsid w:val="006F73D1"/>
    <w:rsid w:val="00701755"/>
    <w:rsid w:val="00702E68"/>
    <w:rsid w:val="00704896"/>
    <w:rsid w:val="00707607"/>
    <w:rsid w:val="00710F07"/>
    <w:rsid w:val="00711669"/>
    <w:rsid w:val="0071302E"/>
    <w:rsid w:val="007174B0"/>
    <w:rsid w:val="007203C1"/>
    <w:rsid w:val="00725490"/>
    <w:rsid w:val="00726845"/>
    <w:rsid w:val="00726E7A"/>
    <w:rsid w:val="00731426"/>
    <w:rsid w:val="00731C0C"/>
    <w:rsid w:val="0073332F"/>
    <w:rsid w:val="0073379B"/>
    <w:rsid w:val="007349C4"/>
    <w:rsid w:val="00747ACE"/>
    <w:rsid w:val="00755C5A"/>
    <w:rsid w:val="007568AA"/>
    <w:rsid w:val="00761D6D"/>
    <w:rsid w:val="0076512E"/>
    <w:rsid w:val="00765B8E"/>
    <w:rsid w:val="00773341"/>
    <w:rsid w:val="00774B22"/>
    <w:rsid w:val="00775CB3"/>
    <w:rsid w:val="0077629A"/>
    <w:rsid w:val="00776E42"/>
    <w:rsid w:val="00777500"/>
    <w:rsid w:val="00783089"/>
    <w:rsid w:val="00784315"/>
    <w:rsid w:val="00785D48"/>
    <w:rsid w:val="00787C16"/>
    <w:rsid w:val="00790585"/>
    <w:rsid w:val="00794FA0"/>
    <w:rsid w:val="007A7425"/>
    <w:rsid w:val="007B2919"/>
    <w:rsid w:val="007B30AA"/>
    <w:rsid w:val="007B56D3"/>
    <w:rsid w:val="007B56E3"/>
    <w:rsid w:val="007B76C1"/>
    <w:rsid w:val="007C0FD0"/>
    <w:rsid w:val="007C6624"/>
    <w:rsid w:val="007D2B3D"/>
    <w:rsid w:val="007D5812"/>
    <w:rsid w:val="007D6C05"/>
    <w:rsid w:val="007D6FA1"/>
    <w:rsid w:val="007F02BA"/>
    <w:rsid w:val="00802091"/>
    <w:rsid w:val="0080488F"/>
    <w:rsid w:val="0080603E"/>
    <w:rsid w:val="00811626"/>
    <w:rsid w:val="00816EE9"/>
    <w:rsid w:val="00825501"/>
    <w:rsid w:val="008276F5"/>
    <w:rsid w:val="00830DC2"/>
    <w:rsid w:val="0083591A"/>
    <w:rsid w:val="00837BC7"/>
    <w:rsid w:val="0084368D"/>
    <w:rsid w:val="00845F4B"/>
    <w:rsid w:val="00846B6E"/>
    <w:rsid w:val="008531BD"/>
    <w:rsid w:val="008532A4"/>
    <w:rsid w:val="00857DD4"/>
    <w:rsid w:val="00860669"/>
    <w:rsid w:val="00861E51"/>
    <w:rsid w:val="00863D39"/>
    <w:rsid w:val="00863E25"/>
    <w:rsid w:val="008643E7"/>
    <w:rsid w:val="008644C1"/>
    <w:rsid w:val="008661E5"/>
    <w:rsid w:val="00866BCC"/>
    <w:rsid w:val="00866CA8"/>
    <w:rsid w:val="0087079C"/>
    <w:rsid w:val="00871ABF"/>
    <w:rsid w:val="0087484A"/>
    <w:rsid w:val="00874A42"/>
    <w:rsid w:val="00876B5D"/>
    <w:rsid w:val="00876C43"/>
    <w:rsid w:val="0088014B"/>
    <w:rsid w:val="00882CBD"/>
    <w:rsid w:val="00883E91"/>
    <w:rsid w:val="0088508A"/>
    <w:rsid w:val="00885E9A"/>
    <w:rsid w:val="00885F61"/>
    <w:rsid w:val="00890144"/>
    <w:rsid w:val="0089402F"/>
    <w:rsid w:val="0089451C"/>
    <w:rsid w:val="00896309"/>
    <w:rsid w:val="0089712B"/>
    <w:rsid w:val="008976D1"/>
    <w:rsid w:val="008A1DF9"/>
    <w:rsid w:val="008A1FA3"/>
    <w:rsid w:val="008A203E"/>
    <w:rsid w:val="008A78C9"/>
    <w:rsid w:val="008A7A2E"/>
    <w:rsid w:val="008A7ED3"/>
    <w:rsid w:val="008B3799"/>
    <w:rsid w:val="008B3927"/>
    <w:rsid w:val="008C30E4"/>
    <w:rsid w:val="008C37A0"/>
    <w:rsid w:val="008C6030"/>
    <w:rsid w:val="008D3DBB"/>
    <w:rsid w:val="008D62E7"/>
    <w:rsid w:val="008D67F1"/>
    <w:rsid w:val="008D6934"/>
    <w:rsid w:val="008D7958"/>
    <w:rsid w:val="008E39F7"/>
    <w:rsid w:val="008E3F32"/>
    <w:rsid w:val="008E4081"/>
    <w:rsid w:val="008E5E34"/>
    <w:rsid w:val="008F4B46"/>
    <w:rsid w:val="008F765F"/>
    <w:rsid w:val="008F7D82"/>
    <w:rsid w:val="00904805"/>
    <w:rsid w:val="0090514C"/>
    <w:rsid w:val="00912E89"/>
    <w:rsid w:val="00913D19"/>
    <w:rsid w:val="00921011"/>
    <w:rsid w:val="00924589"/>
    <w:rsid w:val="00924DF3"/>
    <w:rsid w:val="00924E18"/>
    <w:rsid w:val="0092501F"/>
    <w:rsid w:val="0093151B"/>
    <w:rsid w:val="00933C68"/>
    <w:rsid w:val="0093575D"/>
    <w:rsid w:val="00936900"/>
    <w:rsid w:val="00936CDF"/>
    <w:rsid w:val="00937D94"/>
    <w:rsid w:val="00953760"/>
    <w:rsid w:val="009548CA"/>
    <w:rsid w:val="00956634"/>
    <w:rsid w:val="0096366B"/>
    <w:rsid w:val="00965FBF"/>
    <w:rsid w:val="00970E76"/>
    <w:rsid w:val="00971CCF"/>
    <w:rsid w:val="00974E08"/>
    <w:rsid w:val="00981202"/>
    <w:rsid w:val="00985726"/>
    <w:rsid w:val="0098698C"/>
    <w:rsid w:val="00986F3D"/>
    <w:rsid w:val="00994712"/>
    <w:rsid w:val="009977BE"/>
    <w:rsid w:val="00997AAA"/>
    <w:rsid w:val="00997BB7"/>
    <w:rsid w:val="009A0DDA"/>
    <w:rsid w:val="009A1EBC"/>
    <w:rsid w:val="009B025C"/>
    <w:rsid w:val="009B1124"/>
    <w:rsid w:val="009B3753"/>
    <w:rsid w:val="009B4765"/>
    <w:rsid w:val="009B4A9F"/>
    <w:rsid w:val="009B5959"/>
    <w:rsid w:val="009C32F8"/>
    <w:rsid w:val="009C6F87"/>
    <w:rsid w:val="009D080E"/>
    <w:rsid w:val="009D0957"/>
    <w:rsid w:val="009D31FD"/>
    <w:rsid w:val="009D5187"/>
    <w:rsid w:val="009D71D7"/>
    <w:rsid w:val="009D72BC"/>
    <w:rsid w:val="009D79B8"/>
    <w:rsid w:val="009E0181"/>
    <w:rsid w:val="009E1177"/>
    <w:rsid w:val="009E413D"/>
    <w:rsid w:val="009E69BD"/>
    <w:rsid w:val="009E7ED3"/>
    <w:rsid w:val="009F0A4F"/>
    <w:rsid w:val="00A00AF1"/>
    <w:rsid w:val="00A0534C"/>
    <w:rsid w:val="00A13B9A"/>
    <w:rsid w:val="00A13C9C"/>
    <w:rsid w:val="00A2005E"/>
    <w:rsid w:val="00A2462D"/>
    <w:rsid w:val="00A246AD"/>
    <w:rsid w:val="00A2495C"/>
    <w:rsid w:val="00A305DE"/>
    <w:rsid w:val="00A33C04"/>
    <w:rsid w:val="00A346B8"/>
    <w:rsid w:val="00A35941"/>
    <w:rsid w:val="00A43824"/>
    <w:rsid w:val="00A43DA3"/>
    <w:rsid w:val="00A46368"/>
    <w:rsid w:val="00A47740"/>
    <w:rsid w:val="00A50999"/>
    <w:rsid w:val="00A53F3E"/>
    <w:rsid w:val="00A56260"/>
    <w:rsid w:val="00A562EC"/>
    <w:rsid w:val="00A570B9"/>
    <w:rsid w:val="00A65A37"/>
    <w:rsid w:val="00A65A5E"/>
    <w:rsid w:val="00A666E3"/>
    <w:rsid w:val="00A71EFF"/>
    <w:rsid w:val="00A7452B"/>
    <w:rsid w:val="00A74907"/>
    <w:rsid w:val="00A77857"/>
    <w:rsid w:val="00A80855"/>
    <w:rsid w:val="00A81E1A"/>
    <w:rsid w:val="00A84782"/>
    <w:rsid w:val="00A8591B"/>
    <w:rsid w:val="00A9004D"/>
    <w:rsid w:val="00A9354F"/>
    <w:rsid w:val="00A95C9E"/>
    <w:rsid w:val="00A95D77"/>
    <w:rsid w:val="00A970F7"/>
    <w:rsid w:val="00AA635A"/>
    <w:rsid w:val="00AA720C"/>
    <w:rsid w:val="00AB06D7"/>
    <w:rsid w:val="00AB08DF"/>
    <w:rsid w:val="00AB5969"/>
    <w:rsid w:val="00AC1D38"/>
    <w:rsid w:val="00AC5E3E"/>
    <w:rsid w:val="00AD0513"/>
    <w:rsid w:val="00AD25B5"/>
    <w:rsid w:val="00AD3E5A"/>
    <w:rsid w:val="00AD465A"/>
    <w:rsid w:val="00AD6458"/>
    <w:rsid w:val="00AE429A"/>
    <w:rsid w:val="00AE54AC"/>
    <w:rsid w:val="00AF0442"/>
    <w:rsid w:val="00AF1334"/>
    <w:rsid w:val="00AF2B40"/>
    <w:rsid w:val="00AF440E"/>
    <w:rsid w:val="00B00CAF"/>
    <w:rsid w:val="00B01FF8"/>
    <w:rsid w:val="00B048EB"/>
    <w:rsid w:val="00B05710"/>
    <w:rsid w:val="00B05A91"/>
    <w:rsid w:val="00B17414"/>
    <w:rsid w:val="00B17C9C"/>
    <w:rsid w:val="00B25C0D"/>
    <w:rsid w:val="00B33471"/>
    <w:rsid w:val="00B347A6"/>
    <w:rsid w:val="00B356EC"/>
    <w:rsid w:val="00B372F9"/>
    <w:rsid w:val="00B408FF"/>
    <w:rsid w:val="00B40ABA"/>
    <w:rsid w:val="00B42B7F"/>
    <w:rsid w:val="00B42E89"/>
    <w:rsid w:val="00B45DF8"/>
    <w:rsid w:val="00B478B5"/>
    <w:rsid w:val="00B51699"/>
    <w:rsid w:val="00B608E2"/>
    <w:rsid w:val="00B62ACE"/>
    <w:rsid w:val="00B70B72"/>
    <w:rsid w:val="00B71BA9"/>
    <w:rsid w:val="00B74C84"/>
    <w:rsid w:val="00B761B9"/>
    <w:rsid w:val="00B80833"/>
    <w:rsid w:val="00B824CF"/>
    <w:rsid w:val="00B83667"/>
    <w:rsid w:val="00B83DEE"/>
    <w:rsid w:val="00B8554A"/>
    <w:rsid w:val="00B908E6"/>
    <w:rsid w:val="00B90FDE"/>
    <w:rsid w:val="00B91478"/>
    <w:rsid w:val="00B976D7"/>
    <w:rsid w:val="00B9773D"/>
    <w:rsid w:val="00B979E3"/>
    <w:rsid w:val="00BA136A"/>
    <w:rsid w:val="00BA5D7B"/>
    <w:rsid w:val="00BA7A9C"/>
    <w:rsid w:val="00BB0117"/>
    <w:rsid w:val="00BB0ABC"/>
    <w:rsid w:val="00BB2B2F"/>
    <w:rsid w:val="00BB2EA9"/>
    <w:rsid w:val="00BB5C52"/>
    <w:rsid w:val="00BB6391"/>
    <w:rsid w:val="00BC0BC2"/>
    <w:rsid w:val="00BC1B40"/>
    <w:rsid w:val="00BC5C38"/>
    <w:rsid w:val="00BC63F0"/>
    <w:rsid w:val="00BC7B39"/>
    <w:rsid w:val="00BD17C7"/>
    <w:rsid w:val="00BD3EAE"/>
    <w:rsid w:val="00BD494F"/>
    <w:rsid w:val="00BD799C"/>
    <w:rsid w:val="00BD7A9C"/>
    <w:rsid w:val="00BE0283"/>
    <w:rsid w:val="00BE1DB3"/>
    <w:rsid w:val="00BE2902"/>
    <w:rsid w:val="00BE39FF"/>
    <w:rsid w:val="00BF0F22"/>
    <w:rsid w:val="00BF2FD2"/>
    <w:rsid w:val="00BF37AB"/>
    <w:rsid w:val="00BF452B"/>
    <w:rsid w:val="00BF4B15"/>
    <w:rsid w:val="00BF4EDF"/>
    <w:rsid w:val="00C00911"/>
    <w:rsid w:val="00C0353A"/>
    <w:rsid w:val="00C03E88"/>
    <w:rsid w:val="00C1082A"/>
    <w:rsid w:val="00C11222"/>
    <w:rsid w:val="00C122F5"/>
    <w:rsid w:val="00C12E98"/>
    <w:rsid w:val="00C150BA"/>
    <w:rsid w:val="00C2083B"/>
    <w:rsid w:val="00C25C51"/>
    <w:rsid w:val="00C2736C"/>
    <w:rsid w:val="00C30293"/>
    <w:rsid w:val="00C30EF3"/>
    <w:rsid w:val="00C321EF"/>
    <w:rsid w:val="00C3635F"/>
    <w:rsid w:val="00C401CA"/>
    <w:rsid w:val="00C41081"/>
    <w:rsid w:val="00C4158D"/>
    <w:rsid w:val="00C43BB2"/>
    <w:rsid w:val="00C44870"/>
    <w:rsid w:val="00C54082"/>
    <w:rsid w:val="00C56135"/>
    <w:rsid w:val="00C57946"/>
    <w:rsid w:val="00C61A75"/>
    <w:rsid w:val="00C636E3"/>
    <w:rsid w:val="00C6606A"/>
    <w:rsid w:val="00C67706"/>
    <w:rsid w:val="00C72137"/>
    <w:rsid w:val="00C722F2"/>
    <w:rsid w:val="00C73677"/>
    <w:rsid w:val="00C77365"/>
    <w:rsid w:val="00C82965"/>
    <w:rsid w:val="00C8362A"/>
    <w:rsid w:val="00C85053"/>
    <w:rsid w:val="00C963AD"/>
    <w:rsid w:val="00C96B8A"/>
    <w:rsid w:val="00CA325A"/>
    <w:rsid w:val="00CA49AE"/>
    <w:rsid w:val="00CA5BC9"/>
    <w:rsid w:val="00CB0958"/>
    <w:rsid w:val="00CB4228"/>
    <w:rsid w:val="00CB7A21"/>
    <w:rsid w:val="00CC23C2"/>
    <w:rsid w:val="00CC40A0"/>
    <w:rsid w:val="00CC5919"/>
    <w:rsid w:val="00CC6831"/>
    <w:rsid w:val="00CD0A06"/>
    <w:rsid w:val="00CD1436"/>
    <w:rsid w:val="00CD55CC"/>
    <w:rsid w:val="00CD5920"/>
    <w:rsid w:val="00CE6EAA"/>
    <w:rsid w:val="00CE7DB9"/>
    <w:rsid w:val="00CF0951"/>
    <w:rsid w:val="00CF4FC4"/>
    <w:rsid w:val="00D07243"/>
    <w:rsid w:val="00D110AB"/>
    <w:rsid w:val="00D11AA1"/>
    <w:rsid w:val="00D11B5B"/>
    <w:rsid w:val="00D140EC"/>
    <w:rsid w:val="00D1493D"/>
    <w:rsid w:val="00D21FC3"/>
    <w:rsid w:val="00D23DBF"/>
    <w:rsid w:val="00D23F01"/>
    <w:rsid w:val="00D2526B"/>
    <w:rsid w:val="00D272AC"/>
    <w:rsid w:val="00D348C4"/>
    <w:rsid w:val="00D35256"/>
    <w:rsid w:val="00D37A96"/>
    <w:rsid w:val="00D40B70"/>
    <w:rsid w:val="00D40C4F"/>
    <w:rsid w:val="00D4141F"/>
    <w:rsid w:val="00D44BCA"/>
    <w:rsid w:val="00D44BD1"/>
    <w:rsid w:val="00D450AF"/>
    <w:rsid w:val="00D46C6B"/>
    <w:rsid w:val="00D50893"/>
    <w:rsid w:val="00D50A2E"/>
    <w:rsid w:val="00D516EF"/>
    <w:rsid w:val="00D522AE"/>
    <w:rsid w:val="00D60185"/>
    <w:rsid w:val="00D62265"/>
    <w:rsid w:val="00D66029"/>
    <w:rsid w:val="00D661E3"/>
    <w:rsid w:val="00D66BBC"/>
    <w:rsid w:val="00D76FE5"/>
    <w:rsid w:val="00D808FD"/>
    <w:rsid w:val="00D822B4"/>
    <w:rsid w:val="00D8302D"/>
    <w:rsid w:val="00D855EE"/>
    <w:rsid w:val="00D85612"/>
    <w:rsid w:val="00D85B7F"/>
    <w:rsid w:val="00D922D0"/>
    <w:rsid w:val="00D9311E"/>
    <w:rsid w:val="00D95A1F"/>
    <w:rsid w:val="00D978E6"/>
    <w:rsid w:val="00DA65A7"/>
    <w:rsid w:val="00DB135C"/>
    <w:rsid w:val="00DB2AA7"/>
    <w:rsid w:val="00DB342C"/>
    <w:rsid w:val="00DB40A9"/>
    <w:rsid w:val="00DC73CF"/>
    <w:rsid w:val="00DD2AEC"/>
    <w:rsid w:val="00DD4D14"/>
    <w:rsid w:val="00DD5832"/>
    <w:rsid w:val="00DD5C07"/>
    <w:rsid w:val="00DD6868"/>
    <w:rsid w:val="00DE1091"/>
    <w:rsid w:val="00DE3609"/>
    <w:rsid w:val="00DE4175"/>
    <w:rsid w:val="00DE599A"/>
    <w:rsid w:val="00DF150D"/>
    <w:rsid w:val="00DF154F"/>
    <w:rsid w:val="00DF2E84"/>
    <w:rsid w:val="00DF45CA"/>
    <w:rsid w:val="00DF4C63"/>
    <w:rsid w:val="00E05CAD"/>
    <w:rsid w:val="00E1105D"/>
    <w:rsid w:val="00E2487D"/>
    <w:rsid w:val="00E32C88"/>
    <w:rsid w:val="00E419B8"/>
    <w:rsid w:val="00E44E7B"/>
    <w:rsid w:val="00E46570"/>
    <w:rsid w:val="00E52654"/>
    <w:rsid w:val="00E5344E"/>
    <w:rsid w:val="00E56543"/>
    <w:rsid w:val="00E5665D"/>
    <w:rsid w:val="00E62816"/>
    <w:rsid w:val="00E6352F"/>
    <w:rsid w:val="00E64427"/>
    <w:rsid w:val="00E6695F"/>
    <w:rsid w:val="00E7181D"/>
    <w:rsid w:val="00E7286C"/>
    <w:rsid w:val="00E77873"/>
    <w:rsid w:val="00E82CDC"/>
    <w:rsid w:val="00E84439"/>
    <w:rsid w:val="00E84A64"/>
    <w:rsid w:val="00E86BFD"/>
    <w:rsid w:val="00E87B56"/>
    <w:rsid w:val="00E87BB2"/>
    <w:rsid w:val="00E90A16"/>
    <w:rsid w:val="00E91BE7"/>
    <w:rsid w:val="00E92ADD"/>
    <w:rsid w:val="00E95930"/>
    <w:rsid w:val="00EA33E9"/>
    <w:rsid w:val="00EA44B1"/>
    <w:rsid w:val="00EA7C71"/>
    <w:rsid w:val="00EB2B21"/>
    <w:rsid w:val="00EB4296"/>
    <w:rsid w:val="00EB5ADF"/>
    <w:rsid w:val="00EB634F"/>
    <w:rsid w:val="00EC48C7"/>
    <w:rsid w:val="00ED18DE"/>
    <w:rsid w:val="00ED3336"/>
    <w:rsid w:val="00ED645E"/>
    <w:rsid w:val="00EE0E14"/>
    <w:rsid w:val="00EE3403"/>
    <w:rsid w:val="00EE64F2"/>
    <w:rsid w:val="00EF0101"/>
    <w:rsid w:val="00EF0426"/>
    <w:rsid w:val="00EF114B"/>
    <w:rsid w:val="00EF46A8"/>
    <w:rsid w:val="00EF6C8C"/>
    <w:rsid w:val="00F01B44"/>
    <w:rsid w:val="00F03393"/>
    <w:rsid w:val="00F06A00"/>
    <w:rsid w:val="00F07D50"/>
    <w:rsid w:val="00F11D19"/>
    <w:rsid w:val="00F23606"/>
    <w:rsid w:val="00F25D97"/>
    <w:rsid w:val="00F27A1E"/>
    <w:rsid w:val="00F30553"/>
    <w:rsid w:val="00F31F9B"/>
    <w:rsid w:val="00F3244C"/>
    <w:rsid w:val="00F32FB8"/>
    <w:rsid w:val="00F3364E"/>
    <w:rsid w:val="00F33D4D"/>
    <w:rsid w:val="00F34056"/>
    <w:rsid w:val="00F346E5"/>
    <w:rsid w:val="00F41171"/>
    <w:rsid w:val="00F41AD3"/>
    <w:rsid w:val="00F439C9"/>
    <w:rsid w:val="00F44B10"/>
    <w:rsid w:val="00F45441"/>
    <w:rsid w:val="00F45B76"/>
    <w:rsid w:val="00F50E5B"/>
    <w:rsid w:val="00F52D26"/>
    <w:rsid w:val="00F533B4"/>
    <w:rsid w:val="00F54EBA"/>
    <w:rsid w:val="00F67B26"/>
    <w:rsid w:val="00F72A92"/>
    <w:rsid w:val="00F74E0A"/>
    <w:rsid w:val="00F77E54"/>
    <w:rsid w:val="00F80D4B"/>
    <w:rsid w:val="00F84EBE"/>
    <w:rsid w:val="00F865C9"/>
    <w:rsid w:val="00F869E2"/>
    <w:rsid w:val="00F917C9"/>
    <w:rsid w:val="00F929B2"/>
    <w:rsid w:val="00F943A7"/>
    <w:rsid w:val="00FA0AE1"/>
    <w:rsid w:val="00FA4340"/>
    <w:rsid w:val="00FA5508"/>
    <w:rsid w:val="00FB12A4"/>
    <w:rsid w:val="00FB1B1F"/>
    <w:rsid w:val="00FB4FC4"/>
    <w:rsid w:val="00FB7129"/>
    <w:rsid w:val="00FC01BD"/>
    <w:rsid w:val="00FC07DF"/>
    <w:rsid w:val="00FC1273"/>
    <w:rsid w:val="00FC164B"/>
    <w:rsid w:val="00FC294D"/>
    <w:rsid w:val="00FC2A44"/>
    <w:rsid w:val="00FC2F9E"/>
    <w:rsid w:val="00FC7CD6"/>
    <w:rsid w:val="00FD1DDD"/>
    <w:rsid w:val="00FD2C30"/>
    <w:rsid w:val="00FD52D8"/>
    <w:rsid w:val="00FD5901"/>
    <w:rsid w:val="00FD6347"/>
    <w:rsid w:val="00FD7A24"/>
    <w:rsid w:val="00FE3B8C"/>
    <w:rsid w:val="00FE5716"/>
    <w:rsid w:val="00FE7E4C"/>
    <w:rsid w:val="00FF15E0"/>
    <w:rsid w:val="00FF5920"/>
    <w:rsid w:val="00FF655A"/>
    <w:rsid w:val="00FF7352"/>
    <w:rsid w:val="100A68A4"/>
    <w:rsid w:val="21F89CEA"/>
    <w:rsid w:val="29AEC377"/>
    <w:rsid w:val="2AA2094A"/>
    <w:rsid w:val="2AC6E0D3"/>
    <w:rsid w:val="2C3DD9AB"/>
    <w:rsid w:val="47B9C7DA"/>
    <w:rsid w:val="48CC71B7"/>
    <w:rsid w:val="51132F2E"/>
    <w:rsid w:val="56C16BE9"/>
    <w:rsid w:val="6081458A"/>
    <w:rsid w:val="75B4C0AA"/>
    <w:rsid w:val="7C340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20B15"/>
  <w15:chartTrackingRefBased/>
  <w15:docId w15:val="{70FC48F1-0E64-4DB4-A588-CEE34827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Light" w:eastAsiaTheme="minorHAnsi" w:hAnsi="Roboto Ligh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9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D59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D59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9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D59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D590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D590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D590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59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5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5E0"/>
  </w:style>
  <w:style w:type="paragraph" w:styleId="Footer">
    <w:name w:val="footer"/>
    <w:basedOn w:val="Normal"/>
    <w:link w:val="FooterChar"/>
    <w:uiPriority w:val="99"/>
    <w:unhideWhenUsed/>
    <w:rsid w:val="00FF15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5E0"/>
  </w:style>
  <w:style w:type="paragraph" w:styleId="Revision">
    <w:name w:val="Revision"/>
    <w:hidden/>
    <w:uiPriority w:val="99"/>
    <w:semiHidden/>
    <w:rsid w:val="0007538B"/>
    <w:pPr>
      <w:spacing w:after="0" w:line="240" w:lineRule="auto"/>
    </w:pPr>
  </w:style>
  <w:style w:type="character" w:customStyle="1" w:styleId="normaltextrun">
    <w:name w:val="normaltextrun"/>
    <w:basedOn w:val="DefaultParagraphFont"/>
    <w:rsid w:val="001814E6"/>
  </w:style>
  <w:style w:type="character" w:styleId="CommentReference">
    <w:name w:val="annotation reference"/>
    <w:basedOn w:val="DefaultParagraphFont"/>
    <w:uiPriority w:val="99"/>
    <w:semiHidden/>
    <w:unhideWhenUsed/>
    <w:rsid w:val="001814E6"/>
    <w:rPr>
      <w:sz w:val="16"/>
      <w:szCs w:val="16"/>
    </w:rPr>
  </w:style>
  <w:style w:type="paragraph" w:styleId="CommentText">
    <w:name w:val="annotation text"/>
    <w:basedOn w:val="Normal"/>
    <w:link w:val="CommentTextChar"/>
    <w:uiPriority w:val="99"/>
    <w:unhideWhenUsed/>
    <w:rsid w:val="001814E6"/>
    <w:pPr>
      <w:spacing w:line="240" w:lineRule="auto"/>
    </w:pPr>
    <w:rPr>
      <w:sz w:val="20"/>
      <w:szCs w:val="20"/>
    </w:rPr>
  </w:style>
  <w:style w:type="character" w:customStyle="1" w:styleId="CommentTextChar">
    <w:name w:val="Comment Text Char"/>
    <w:basedOn w:val="DefaultParagraphFont"/>
    <w:link w:val="CommentText"/>
    <w:uiPriority w:val="99"/>
    <w:rsid w:val="001814E6"/>
    <w:rPr>
      <w:sz w:val="20"/>
      <w:szCs w:val="20"/>
    </w:rPr>
  </w:style>
  <w:style w:type="paragraph" w:styleId="CommentSubject">
    <w:name w:val="annotation subject"/>
    <w:basedOn w:val="CommentText"/>
    <w:next w:val="CommentText"/>
    <w:link w:val="CommentSubjectChar"/>
    <w:uiPriority w:val="99"/>
    <w:semiHidden/>
    <w:unhideWhenUsed/>
    <w:rsid w:val="001814E6"/>
    <w:rPr>
      <w:b/>
      <w:bCs/>
    </w:rPr>
  </w:style>
  <w:style w:type="character" w:customStyle="1" w:styleId="CommentSubjectChar">
    <w:name w:val="Comment Subject Char"/>
    <w:basedOn w:val="CommentTextChar"/>
    <w:link w:val="CommentSubject"/>
    <w:uiPriority w:val="99"/>
    <w:semiHidden/>
    <w:rsid w:val="001814E6"/>
    <w:rPr>
      <w:b/>
      <w:bCs/>
      <w:sz w:val="20"/>
      <w:szCs w:val="20"/>
    </w:rPr>
  </w:style>
  <w:style w:type="paragraph" w:styleId="NormalWeb">
    <w:name w:val="Normal (Web)"/>
    <w:basedOn w:val="Normal"/>
    <w:uiPriority w:val="99"/>
    <w:unhideWhenUsed/>
    <w:rsid w:val="000D644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D5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901"/>
    <w:rPr>
      <w:rFonts w:ascii="Segoe UI" w:hAnsi="Segoe UI" w:cs="Segoe UI"/>
      <w:sz w:val="18"/>
      <w:szCs w:val="18"/>
    </w:rPr>
  </w:style>
  <w:style w:type="paragraph" w:styleId="Bibliography">
    <w:name w:val="Bibliography"/>
    <w:basedOn w:val="Normal"/>
    <w:next w:val="Normal"/>
    <w:uiPriority w:val="37"/>
    <w:semiHidden/>
    <w:unhideWhenUsed/>
    <w:rsid w:val="00FD5901"/>
  </w:style>
  <w:style w:type="paragraph" w:styleId="BlockText">
    <w:name w:val="Block Text"/>
    <w:basedOn w:val="Normal"/>
    <w:uiPriority w:val="99"/>
    <w:semiHidden/>
    <w:unhideWhenUsed/>
    <w:rsid w:val="00FD590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FD5901"/>
    <w:pPr>
      <w:spacing w:after="120"/>
    </w:pPr>
  </w:style>
  <w:style w:type="character" w:customStyle="1" w:styleId="BodyTextChar">
    <w:name w:val="Body Text Char"/>
    <w:basedOn w:val="DefaultParagraphFont"/>
    <w:link w:val="BodyText"/>
    <w:uiPriority w:val="99"/>
    <w:semiHidden/>
    <w:rsid w:val="00FD5901"/>
  </w:style>
  <w:style w:type="paragraph" w:styleId="BodyText2">
    <w:name w:val="Body Text 2"/>
    <w:basedOn w:val="Normal"/>
    <w:link w:val="BodyText2Char"/>
    <w:uiPriority w:val="99"/>
    <w:semiHidden/>
    <w:unhideWhenUsed/>
    <w:rsid w:val="00FD5901"/>
    <w:pPr>
      <w:spacing w:after="120" w:line="480" w:lineRule="auto"/>
    </w:pPr>
  </w:style>
  <w:style w:type="character" w:customStyle="1" w:styleId="BodyText2Char">
    <w:name w:val="Body Text 2 Char"/>
    <w:basedOn w:val="DefaultParagraphFont"/>
    <w:link w:val="BodyText2"/>
    <w:uiPriority w:val="99"/>
    <w:semiHidden/>
    <w:rsid w:val="00FD5901"/>
  </w:style>
  <w:style w:type="paragraph" w:styleId="BodyText3">
    <w:name w:val="Body Text 3"/>
    <w:basedOn w:val="Normal"/>
    <w:link w:val="BodyText3Char"/>
    <w:uiPriority w:val="99"/>
    <w:semiHidden/>
    <w:unhideWhenUsed/>
    <w:rsid w:val="00FD5901"/>
    <w:pPr>
      <w:spacing w:after="120"/>
    </w:pPr>
    <w:rPr>
      <w:sz w:val="16"/>
      <w:szCs w:val="16"/>
    </w:rPr>
  </w:style>
  <w:style w:type="character" w:customStyle="1" w:styleId="BodyText3Char">
    <w:name w:val="Body Text 3 Char"/>
    <w:basedOn w:val="DefaultParagraphFont"/>
    <w:link w:val="BodyText3"/>
    <w:uiPriority w:val="99"/>
    <w:semiHidden/>
    <w:rsid w:val="00FD5901"/>
    <w:rPr>
      <w:sz w:val="16"/>
      <w:szCs w:val="16"/>
    </w:rPr>
  </w:style>
  <w:style w:type="paragraph" w:styleId="BodyTextFirstIndent">
    <w:name w:val="Body Text First Indent"/>
    <w:basedOn w:val="BodyText"/>
    <w:link w:val="BodyTextFirstIndentChar"/>
    <w:uiPriority w:val="99"/>
    <w:semiHidden/>
    <w:unhideWhenUsed/>
    <w:rsid w:val="00FD5901"/>
    <w:pPr>
      <w:spacing w:after="160"/>
      <w:ind w:firstLine="360"/>
    </w:pPr>
  </w:style>
  <w:style w:type="character" w:customStyle="1" w:styleId="BodyTextFirstIndentChar">
    <w:name w:val="Body Text First Indent Char"/>
    <w:basedOn w:val="BodyTextChar"/>
    <w:link w:val="BodyTextFirstIndent"/>
    <w:uiPriority w:val="99"/>
    <w:semiHidden/>
    <w:rsid w:val="00FD5901"/>
  </w:style>
  <w:style w:type="paragraph" w:styleId="BodyTextIndent">
    <w:name w:val="Body Text Indent"/>
    <w:basedOn w:val="Normal"/>
    <w:link w:val="BodyTextIndentChar"/>
    <w:uiPriority w:val="99"/>
    <w:semiHidden/>
    <w:unhideWhenUsed/>
    <w:rsid w:val="00FD5901"/>
    <w:pPr>
      <w:spacing w:after="120"/>
      <w:ind w:left="360"/>
    </w:pPr>
  </w:style>
  <w:style w:type="character" w:customStyle="1" w:styleId="BodyTextIndentChar">
    <w:name w:val="Body Text Indent Char"/>
    <w:basedOn w:val="DefaultParagraphFont"/>
    <w:link w:val="BodyTextIndent"/>
    <w:uiPriority w:val="99"/>
    <w:semiHidden/>
    <w:rsid w:val="00FD5901"/>
  </w:style>
  <w:style w:type="paragraph" w:styleId="BodyTextFirstIndent2">
    <w:name w:val="Body Text First Indent 2"/>
    <w:basedOn w:val="BodyTextIndent"/>
    <w:link w:val="BodyTextFirstIndent2Char"/>
    <w:uiPriority w:val="99"/>
    <w:semiHidden/>
    <w:unhideWhenUsed/>
    <w:rsid w:val="00FD5901"/>
    <w:pPr>
      <w:spacing w:after="160"/>
      <w:ind w:firstLine="360"/>
    </w:pPr>
  </w:style>
  <w:style w:type="character" w:customStyle="1" w:styleId="BodyTextFirstIndent2Char">
    <w:name w:val="Body Text First Indent 2 Char"/>
    <w:basedOn w:val="BodyTextIndentChar"/>
    <w:link w:val="BodyTextFirstIndent2"/>
    <w:uiPriority w:val="99"/>
    <w:semiHidden/>
    <w:rsid w:val="00FD5901"/>
  </w:style>
  <w:style w:type="paragraph" w:styleId="BodyTextIndent2">
    <w:name w:val="Body Text Indent 2"/>
    <w:basedOn w:val="Normal"/>
    <w:link w:val="BodyTextIndent2Char"/>
    <w:uiPriority w:val="99"/>
    <w:semiHidden/>
    <w:unhideWhenUsed/>
    <w:rsid w:val="00FD5901"/>
    <w:pPr>
      <w:spacing w:after="120" w:line="480" w:lineRule="auto"/>
      <w:ind w:left="360"/>
    </w:pPr>
  </w:style>
  <w:style w:type="character" w:customStyle="1" w:styleId="BodyTextIndent2Char">
    <w:name w:val="Body Text Indent 2 Char"/>
    <w:basedOn w:val="DefaultParagraphFont"/>
    <w:link w:val="BodyTextIndent2"/>
    <w:uiPriority w:val="99"/>
    <w:semiHidden/>
    <w:rsid w:val="00FD5901"/>
  </w:style>
  <w:style w:type="paragraph" w:styleId="BodyTextIndent3">
    <w:name w:val="Body Text Indent 3"/>
    <w:basedOn w:val="Normal"/>
    <w:link w:val="BodyTextIndent3Char"/>
    <w:uiPriority w:val="99"/>
    <w:semiHidden/>
    <w:unhideWhenUsed/>
    <w:rsid w:val="00FD590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D5901"/>
    <w:rPr>
      <w:sz w:val="16"/>
      <w:szCs w:val="16"/>
    </w:rPr>
  </w:style>
  <w:style w:type="paragraph" w:styleId="Caption">
    <w:name w:val="caption"/>
    <w:basedOn w:val="Normal"/>
    <w:next w:val="Normal"/>
    <w:uiPriority w:val="35"/>
    <w:semiHidden/>
    <w:unhideWhenUsed/>
    <w:qFormat/>
    <w:rsid w:val="00FD5901"/>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D5901"/>
    <w:pPr>
      <w:spacing w:after="0" w:line="240" w:lineRule="auto"/>
      <w:ind w:left="4320"/>
    </w:pPr>
  </w:style>
  <w:style w:type="character" w:customStyle="1" w:styleId="ClosingChar">
    <w:name w:val="Closing Char"/>
    <w:basedOn w:val="DefaultParagraphFont"/>
    <w:link w:val="Closing"/>
    <w:uiPriority w:val="99"/>
    <w:semiHidden/>
    <w:rsid w:val="00FD5901"/>
  </w:style>
  <w:style w:type="paragraph" w:styleId="Date">
    <w:name w:val="Date"/>
    <w:basedOn w:val="Normal"/>
    <w:next w:val="Normal"/>
    <w:link w:val="DateChar"/>
    <w:uiPriority w:val="99"/>
    <w:semiHidden/>
    <w:unhideWhenUsed/>
    <w:rsid w:val="00FD5901"/>
  </w:style>
  <w:style w:type="character" w:customStyle="1" w:styleId="DateChar">
    <w:name w:val="Date Char"/>
    <w:basedOn w:val="DefaultParagraphFont"/>
    <w:link w:val="Date"/>
    <w:uiPriority w:val="99"/>
    <w:semiHidden/>
    <w:rsid w:val="00FD5901"/>
  </w:style>
  <w:style w:type="paragraph" w:styleId="DocumentMap">
    <w:name w:val="Document Map"/>
    <w:basedOn w:val="Normal"/>
    <w:link w:val="DocumentMapChar"/>
    <w:uiPriority w:val="99"/>
    <w:semiHidden/>
    <w:unhideWhenUsed/>
    <w:rsid w:val="00FD590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D5901"/>
    <w:rPr>
      <w:rFonts w:ascii="Segoe UI" w:hAnsi="Segoe UI" w:cs="Segoe UI"/>
      <w:sz w:val="16"/>
      <w:szCs w:val="16"/>
    </w:rPr>
  </w:style>
  <w:style w:type="paragraph" w:styleId="E-mailSignature">
    <w:name w:val="E-mail Signature"/>
    <w:basedOn w:val="Normal"/>
    <w:link w:val="E-mailSignatureChar"/>
    <w:uiPriority w:val="99"/>
    <w:semiHidden/>
    <w:unhideWhenUsed/>
    <w:rsid w:val="00FD5901"/>
    <w:pPr>
      <w:spacing w:after="0" w:line="240" w:lineRule="auto"/>
    </w:pPr>
  </w:style>
  <w:style w:type="character" w:customStyle="1" w:styleId="E-mailSignatureChar">
    <w:name w:val="E-mail Signature Char"/>
    <w:basedOn w:val="DefaultParagraphFont"/>
    <w:link w:val="E-mailSignature"/>
    <w:uiPriority w:val="99"/>
    <w:semiHidden/>
    <w:rsid w:val="00FD5901"/>
  </w:style>
  <w:style w:type="paragraph" w:styleId="EndnoteText">
    <w:name w:val="endnote text"/>
    <w:basedOn w:val="Normal"/>
    <w:link w:val="EndnoteTextChar"/>
    <w:uiPriority w:val="99"/>
    <w:semiHidden/>
    <w:unhideWhenUsed/>
    <w:rsid w:val="00FD59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5901"/>
    <w:rPr>
      <w:sz w:val="20"/>
      <w:szCs w:val="20"/>
    </w:rPr>
  </w:style>
  <w:style w:type="paragraph" w:styleId="EnvelopeAddress">
    <w:name w:val="envelope address"/>
    <w:basedOn w:val="Normal"/>
    <w:uiPriority w:val="99"/>
    <w:semiHidden/>
    <w:unhideWhenUsed/>
    <w:rsid w:val="00FD590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D5901"/>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FD59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5901"/>
    <w:rPr>
      <w:sz w:val="20"/>
      <w:szCs w:val="20"/>
    </w:rPr>
  </w:style>
  <w:style w:type="character" w:customStyle="1" w:styleId="Heading1Char">
    <w:name w:val="Heading 1 Char"/>
    <w:basedOn w:val="DefaultParagraphFont"/>
    <w:link w:val="Heading1"/>
    <w:uiPriority w:val="9"/>
    <w:rsid w:val="00FD590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D590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D590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D59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D59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D590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D590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D59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590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FD5901"/>
    <w:pPr>
      <w:spacing w:after="0" w:line="240" w:lineRule="auto"/>
    </w:pPr>
    <w:rPr>
      <w:i/>
      <w:iCs/>
    </w:rPr>
  </w:style>
  <w:style w:type="character" w:customStyle="1" w:styleId="HTMLAddressChar">
    <w:name w:val="HTML Address Char"/>
    <w:basedOn w:val="DefaultParagraphFont"/>
    <w:link w:val="HTMLAddress"/>
    <w:uiPriority w:val="99"/>
    <w:semiHidden/>
    <w:rsid w:val="00FD5901"/>
    <w:rPr>
      <w:i/>
      <w:iCs/>
    </w:rPr>
  </w:style>
  <w:style w:type="paragraph" w:styleId="HTMLPreformatted">
    <w:name w:val="HTML Preformatted"/>
    <w:basedOn w:val="Normal"/>
    <w:link w:val="HTMLPreformattedChar"/>
    <w:uiPriority w:val="99"/>
    <w:semiHidden/>
    <w:unhideWhenUsed/>
    <w:rsid w:val="00FD590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D5901"/>
    <w:rPr>
      <w:rFonts w:ascii="Consolas" w:hAnsi="Consolas"/>
      <w:sz w:val="20"/>
      <w:szCs w:val="20"/>
    </w:rPr>
  </w:style>
  <w:style w:type="paragraph" w:styleId="Index1">
    <w:name w:val="index 1"/>
    <w:basedOn w:val="Normal"/>
    <w:next w:val="Normal"/>
    <w:autoRedefine/>
    <w:uiPriority w:val="99"/>
    <w:semiHidden/>
    <w:unhideWhenUsed/>
    <w:rsid w:val="00FD5901"/>
    <w:pPr>
      <w:spacing w:after="0" w:line="240" w:lineRule="auto"/>
      <w:ind w:left="220" w:hanging="220"/>
    </w:pPr>
  </w:style>
  <w:style w:type="paragraph" w:styleId="Index2">
    <w:name w:val="index 2"/>
    <w:basedOn w:val="Normal"/>
    <w:next w:val="Normal"/>
    <w:autoRedefine/>
    <w:uiPriority w:val="99"/>
    <w:semiHidden/>
    <w:unhideWhenUsed/>
    <w:rsid w:val="00FD5901"/>
    <w:pPr>
      <w:spacing w:after="0" w:line="240" w:lineRule="auto"/>
      <w:ind w:left="440" w:hanging="220"/>
    </w:pPr>
  </w:style>
  <w:style w:type="paragraph" w:styleId="Index3">
    <w:name w:val="index 3"/>
    <w:basedOn w:val="Normal"/>
    <w:next w:val="Normal"/>
    <w:autoRedefine/>
    <w:uiPriority w:val="99"/>
    <w:semiHidden/>
    <w:unhideWhenUsed/>
    <w:rsid w:val="00FD5901"/>
    <w:pPr>
      <w:spacing w:after="0" w:line="240" w:lineRule="auto"/>
      <w:ind w:left="660" w:hanging="220"/>
    </w:pPr>
  </w:style>
  <w:style w:type="paragraph" w:styleId="Index4">
    <w:name w:val="index 4"/>
    <w:basedOn w:val="Normal"/>
    <w:next w:val="Normal"/>
    <w:autoRedefine/>
    <w:uiPriority w:val="99"/>
    <w:semiHidden/>
    <w:unhideWhenUsed/>
    <w:rsid w:val="00FD5901"/>
    <w:pPr>
      <w:spacing w:after="0" w:line="240" w:lineRule="auto"/>
      <w:ind w:left="880" w:hanging="220"/>
    </w:pPr>
  </w:style>
  <w:style w:type="paragraph" w:styleId="Index5">
    <w:name w:val="index 5"/>
    <w:basedOn w:val="Normal"/>
    <w:next w:val="Normal"/>
    <w:autoRedefine/>
    <w:uiPriority w:val="99"/>
    <w:semiHidden/>
    <w:unhideWhenUsed/>
    <w:rsid w:val="00FD5901"/>
    <w:pPr>
      <w:spacing w:after="0" w:line="240" w:lineRule="auto"/>
      <w:ind w:left="1100" w:hanging="220"/>
    </w:pPr>
  </w:style>
  <w:style w:type="paragraph" w:styleId="Index6">
    <w:name w:val="index 6"/>
    <w:basedOn w:val="Normal"/>
    <w:next w:val="Normal"/>
    <w:autoRedefine/>
    <w:uiPriority w:val="99"/>
    <w:semiHidden/>
    <w:unhideWhenUsed/>
    <w:rsid w:val="00FD5901"/>
    <w:pPr>
      <w:spacing w:after="0" w:line="240" w:lineRule="auto"/>
      <w:ind w:left="1320" w:hanging="220"/>
    </w:pPr>
  </w:style>
  <w:style w:type="paragraph" w:styleId="Index7">
    <w:name w:val="index 7"/>
    <w:basedOn w:val="Normal"/>
    <w:next w:val="Normal"/>
    <w:autoRedefine/>
    <w:uiPriority w:val="99"/>
    <w:semiHidden/>
    <w:unhideWhenUsed/>
    <w:rsid w:val="00FD5901"/>
    <w:pPr>
      <w:spacing w:after="0" w:line="240" w:lineRule="auto"/>
      <w:ind w:left="1540" w:hanging="220"/>
    </w:pPr>
  </w:style>
  <w:style w:type="paragraph" w:styleId="Index8">
    <w:name w:val="index 8"/>
    <w:basedOn w:val="Normal"/>
    <w:next w:val="Normal"/>
    <w:autoRedefine/>
    <w:uiPriority w:val="99"/>
    <w:semiHidden/>
    <w:unhideWhenUsed/>
    <w:rsid w:val="00FD5901"/>
    <w:pPr>
      <w:spacing w:after="0" w:line="240" w:lineRule="auto"/>
      <w:ind w:left="1760" w:hanging="220"/>
    </w:pPr>
  </w:style>
  <w:style w:type="paragraph" w:styleId="Index9">
    <w:name w:val="index 9"/>
    <w:basedOn w:val="Normal"/>
    <w:next w:val="Normal"/>
    <w:autoRedefine/>
    <w:uiPriority w:val="99"/>
    <w:semiHidden/>
    <w:unhideWhenUsed/>
    <w:rsid w:val="00FD5901"/>
    <w:pPr>
      <w:spacing w:after="0" w:line="240" w:lineRule="auto"/>
      <w:ind w:left="1980" w:hanging="220"/>
    </w:pPr>
  </w:style>
  <w:style w:type="paragraph" w:styleId="IndexHeading">
    <w:name w:val="index heading"/>
    <w:basedOn w:val="Normal"/>
    <w:next w:val="Index1"/>
    <w:uiPriority w:val="99"/>
    <w:semiHidden/>
    <w:unhideWhenUsed/>
    <w:rsid w:val="00FD590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D590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D5901"/>
    <w:rPr>
      <w:i/>
      <w:iCs/>
      <w:color w:val="4472C4" w:themeColor="accent1"/>
    </w:rPr>
  </w:style>
  <w:style w:type="paragraph" w:styleId="List">
    <w:name w:val="List"/>
    <w:basedOn w:val="Normal"/>
    <w:uiPriority w:val="99"/>
    <w:semiHidden/>
    <w:unhideWhenUsed/>
    <w:rsid w:val="00FD5901"/>
    <w:pPr>
      <w:ind w:left="360" w:hanging="360"/>
      <w:contextualSpacing/>
    </w:pPr>
  </w:style>
  <w:style w:type="paragraph" w:styleId="List2">
    <w:name w:val="List 2"/>
    <w:basedOn w:val="Normal"/>
    <w:uiPriority w:val="99"/>
    <w:semiHidden/>
    <w:unhideWhenUsed/>
    <w:rsid w:val="00FD5901"/>
    <w:pPr>
      <w:ind w:left="720" w:hanging="360"/>
      <w:contextualSpacing/>
    </w:pPr>
  </w:style>
  <w:style w:type="paragraph" w:styleId="List3">
    <w:name w:val="List 3"/>
    <w:basedOn w:val="Normal"/>
    <w:uiPriority w:val="99"/>
    <w:semiHidden/>
    <w:unhideWhenUsed/>
    <w:rsid w:val="00FD5901"/>
    <w:pPr>
      <w:ind w:left="1080" w:hanging="360"/>
      <w:contextualSpacing/>
    </w:pPr>
  </w:style>
  <w:style w:type="paragraph" w:styleId="List4">
    <w:name w:val="List 4"/>
    <w:basedOn w:val="Normal"/>
    <w:uiPriority w:val="99"/>
    <w:semiHidden/>
    <w:unhideWhenUsed/>
    <w:rsid w:val="00FD5901"/>
    <w:pPr>
      <w:ind w:left="1440" w:hanging="360"/>
      <w:contextualSpacing/>
    </w:pPr>
  </w:style>
  <w:style w:type="paragraph" w:styleId="List5">
    <w:name w:val="List 5"/>
    <w:basedOn w:val="Normal"/>
    <w:uiPriority w:val="99"/>
    <w:semiHidden/>
    <w:unhideWhenUsed/>
    <w:rsid w:val="00FD5901"/>
    <w:pPr>
      <w:ind w:left="1800" w:hanging="360"/>
      <w:contextualSpacing/>
    </w:pPr>
  </w:style>
  <w:style w:type="paragraph" w:styleId="ListBullet">
    <w:name w:val="List Bullet"/>
    <w:basedOn w:val="Normal"/>
    <w:uiPriority w:val="99"/>
    <w:semiHidden/>
    <w:unhideWhenUsed/>
    <w:rsid w:val="00FD5901"/>
    <w:pPr>
      <w:numPr>
        <w:numId w:val="1"/>
      </w:numPr>
      <w:contextualSpacing/>
    </w:pPr>
  </w:style>
  <w:style w:type="paragraph" w:styleId="ListBullet2">
    <w:name w:val="List Bullet 2"/>
    <w:basedOn w:val="Normal"/>
    <w:uiPriority w:val="99"/>
    <w:semiHidden/>
    <w:unhideWhenUsed/>
    <w:rsid w:val="00FD5901"/>
    <w:pPr>
      <w:numPr>
        <w:numId w:val="2"/>
      </w:numPr>
      <w:contextualSpacing/>
    </w:pPr>
  </w:style>
  <w:style w:type="paragraph" w:styleId="ListBullet3">
    <w:name w:val="List Bullet 3"/>
    <w:basedOn w:val="Normal"/>
    <w:uiPriority w:val="99"/>
    <w:semiHidden/>
    <w:unhideWhenUsed/>
    <w:rsid w:val="00FD5901"/>
    <w:pPr>
      <w:numPr>
        <w:numId w:val="3"/>
      </w:numPr>
      <w:contextualSpacing/>
    </w:pPr>
  </w:style>
  <w:style w:type="paragraph" w:styleId="ListBullet4">
    <w:name w:val="List Bullet 4"/>
    <w:basedOn w:val="Normal"/>
    <w:uiPriority w:val="99"/>
    <w:semiHidden/>
    <w:unhideWhenUsed/>
    <w:rsid w:val="00FD5901"/>
    <w:pPr>
      <w:numPr>
        <w:numId w:val="4"/>
      </w:numPr>
      <w:contextualSpacing/>
    </w:pPr>
  </w:style>
  <w:style w:type="paragraph" w:styleId="ListBullet5">
    <w:name w:val="List Bullet 5"/>
    <w:basedOn w:val="Normal"/>
    <w:uiPriority w:val="99"/>
    <w:semiHidden/>
    <w:unhideWhenUsed/>
    <w:rsid w:val="00FD5901"/>
    <w:pPr>
      <w:numPr>
        <w:numId w:val="5"/>
      </w:numPr>
      <w:contextualSpacing/>
    </w:pPr>
  </w:style>
  <w:style w:type="paragraph" w:styleId="ListContinue">
    <w:name w:val="List Continue"/>
    <w:basedOn w:val="Normal"/>
    <w:uiPriority w:val="99"/>
    <w:semiHidden/>
    <w:unhideWhenUsed/>
    <w:rsid w:val="00FD5901"/>
    <w:pPr>
      <w:spacing w:after="120"/>
      <w:ind w:left="360"/>
      <w:contextualSpacing/>
    </w:pPr>
  </w:style>
  <w:style w:type="paragraph" w:styleId="ListContinue2">
    <w:name w:val="List Continue 2"/>
    <w:basedOn w:val="Normal"/>
    <w:uiPriority w:val="99"/>
    <w:semiHidden/>
    <w:unhideWhenUsed/>
    <w:rsid w:val="00FD5901"/>
    <w:pPr>
      <w:spacing w:after="120"/>
      <w:ind w:left="720"/>
      <w:contextualSpacing/>
    </w:pPr>
  </w:style>
  <w:style w:type="paragraph" w:styleId="ListContinue3">
    <w:name w:val="List Continue 3"/>
    <w:basedOn w:val="Normal"/>
    <w:uiPriority w:val="99"/>
    <w:semiHidden/>
    <w:unhideWhenUsed/>
    <w:rsid w:val="00FD5901"/>
    <w:pPr>
      <w:spacing w:after="120"/>
      <w:ind w:left="1080"/>
      <w:contextualSpacing/>
    </w:pPr>
  </w:style>
  <w:style w:type="paragraph" w:styleId="ListContinue4">
    <w:name w:val="List Continue 4"/>
    <w:basedOn w:val="Normal"/>
    <w:uiPriority w:val="99"/>
    <w:semiHidden/>
    <w:unhideWhenUsed/>
    <w:rsid w:val="00FD5901"/>
    <w:pPr>
      <w:spacing w:after="120"/>
      <w:ind w:left="1440"/>
      <w:contextualSpacing/>
    </w:pPr>
  </w:style>
  <w:style w:type="paragraph" w:styleId="ListContinue5">
    <w:name w:val="List Continue 5"/>
    <w:basedOn w:val="Normal"/>
    <w:uiPriority w:val="99"/>
    <w:semiHidden/>
    <w:unhideWhenUsed/>
    <w:rsid w:val="00FD5901"/>
    <w:pPr>
      <w:spacing w:after="120"/>
      <w:ind w:left="1800"/>
      <w:contextualSpacing/>
    </w:pPr>
  </w:style>
  <w:style w:type="paragraph" w:styleId="ListNumber">
    <w:name w:val="List Number"/>
    <w:basedOn w:val="Normal"/>
    <w:uiPriority w:val="99"/>
    <w:semiHidden/>
    <w:unhideWhenUsed/>
    <w:rsid w:val="00FD5901"/>
    <w:pPr>
      <w:numPr>
        <w:numId w:val="6"/>
      </w:numPr>
      <w:contextualSpacing/>
    </w:pPr>
  </w:style>
  <w:style w:type="paragraph" w:styleId="ListNumber2">
    <w:name w:val="List Number 2"/>
    <w:basedOn w:val="Normal"/>
    <w:uiPriority w:val="99"/>
    <w:semiHidden/>
    <w:unhideWhenUsed/>
    <w:rsid w:val="00FD5901"/>
    <w:pPr>
      <w:numPr>
        <w:numId w:val="7"/>
      </w:numPr>
      <w:contextualSpacing/>
    </w:pPr>
  </w:style>
  <w:style w:type="paragraph" w:styleId="ListNumber3">
    <w:name w:val="List Number 3"/>
    <w:basedOn w:val="Normal"/>
    <w:uiPriority w:val="99"/>
    <w:semiHidden/>
    <w:unhideWhenUsed/>
    <w:rsid w:val="00FD5901"/>
    <w:pPr>
      <w:numPr>
        <w:numId w:val="8"/>
      </w:numPr>
      <w:contextualSpacing/>
    </w:pPr>
  </w:style>
  <w:style w:type="paragraph" w:styleId="ListNumber4">
    <w:name w:val="List Number 4"/>
    <w:basedOn w:val="Normal"/>
    <w:uiPriority w:val="99"/>
    <w:semiHidden/>
    <w:unhideWhenUsed/>
    <w:rsid w:val="00FD5901"/>
    <w:pPr>
      <w:numPr>
        <w:numId w:val="9"/>
      </w:numPr>
      <w:contextualSpacing/>
    </w:pPr>
  </w:style>
  <w:style w:type="paragraph" w:styleId="ListNumber5">
    <w:name w:val="List Number 5"/>
    <w:basedOn w:val="Normal"/>
    <w:uiPriority w:val="99"/>
    <w:semiHidden/>
    <w:unhideWhenUsed/>
    <w:rsid w:val="00FD5901"/>
    <w:pPr>
      <w:numPr>
        <w:numId w:val="10"/>
      </w:numPr>
      <w:contextualSpacing/>
    </w:pPr>
  </w:style>
  <w:style w:type="paragraph" w:styleId="ListParagraph">
    <w:name w:val="List Paragraph"/>
    <w:basedOn w:val="Normal"/>
    <w:uiPriority w:val="34"/>
    <w:qFormat/>
    <w:rsid w:val="00FD5901"/>
    <w:pPr>
      <w:ind w:left="720"/>
      <w:contextualSpacing/>
    </w:pPr>
  </w:style>
  <w:style w:type="paragraph" w:styleId="MacroText">
    <w:name w:val="macro"/>
    <w:link w:val="MacroTextChar"/>
    <w:uiPriority w:val="99"/>
    <w:semiHidden/>
    <w:unhideWhenUsed/>
    <w:rsid w:val="00FD590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D5901"/>
    <w:rPr>
      <w:rFonts w:ascii="Consolas" w:hAnsi="Consolas"/>
      <w:sz w:val="20"/>
      <w:szCs w:val="20"/>
    </w:rPr>
  </w:style>
  <w:style w:type="paragraph" w:styleId="MessageHeader">
    <w:name w:val="Message Header"/>
    <w:basedOn w:val="Normal"/>
    <w:link w:val="MessageHeaderChar"/>
    <w:uiPriority w:val="99"/>
    <w:semiHidden/>
    <w:unhideWhenUsed/>
    <w:rsid w:val="00FD590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D5901"/>
    <w:rPr>
      <w:rFonts w:asciiTheme="majorHAnsi" w:eastAsiaTheme="majorEastAsia" w:hAnsiTheme="majorHAnsi" w:cstheme="majorBidi"/>
      <w:sz w:val="24"/>
      <w:szCs w:val="24"/>
      <w:shd w:val="pct20" w:color="auto" w:fill="auto"/>
    </w:rPr>
  </w:style>
  <w:style w:type="paragraph" w:styleId="NoSpacing">
    <w:name w:val="No Spacing"/>
    <w:uiPriority w:val="1"/>
    <w:qFormat/>
    <w:rsid w:val="00FD5901"/>
    <w:pPr>
      <w:spacing w:after="0" w:line="240" w:lineRule="auto"/>
    </w:pPr>
  </w:style>
  <w:style w:type="paragraph" w:styleId="NormalIndent">
    <w:name w:val="Normal Indent"/>
    <w:basedOn w:val="Normal"/>
    <w:uiPriority w:val="99"/>
    <w:semiHidden/>
    <w:unhideWhenUsed/>
    <w:rsid w:val="00FD5901"/>
    <w:pPr>
      <w:ind w:left="720"/>
    </w:pPr>
  </w:style>
  <w:style w:type="paragraph" w:styleId="NoteHeading">
    <w:name w:val="Note Heading"/>
    <w:basedOn w:val="Normal"/>
    <w:next w:val="Normal"/>
    <w:link w:val="NoteHeadingChar"/>
    <w:uiPriority w:val="99"/>
    <w:semiHidden/>
    <w:unhideWhenUsed/>
    <w:rsid w:val="00FD5901"/>
    <w:pPr>
      <w:spacing w:after="0" w:line="240" w:lineRule="auto"/>
    </w:pPr>
  </w:style>
  <w:style w:type="character" w:customStyle="1" w:styleId="NoteHeadingChar">
    <w:name w:val="Note Heading Char"/>
    <w:basedOn w:val="DefaultParagraphFont"/>
    <w:link w:val="NoteHeading"/>
    <w:uiPriority w:val="99"/>
    <w:semiHidden/>
    <w:rsid w:val="00FD5901"/>
  </w:style>
  <w:style w:type="paragraph" w:styleId="PlainText">
    <w:name w:val="Plain Text"/>
    <w:basedOn w:val="Normal"/>
    <w:link w:val="PlainTextChar"/>
    <w:uiPriority w:val="99"/>
    <w:semiHidden/>
    <w:unhideWhenUsed/>
    <w:rsid w:val="00FD590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D5901"/>
    <w:rPr>
      <w:rFonts w:ascii="Consolas" w:hAnsi="Consolas"/>
      <w:sz w:val="21"/>
      <w:szCs w:val="21"/>
    </w:rPr>
  </w:style>
  <w:style w:type="paragraph" w:styleId="Quote">
    <w:name w:val="Quote"/>
    <w:basedOn w:val="Normal"/>
    <w:next w:val="Normal"/>
    <w:link w:val="QuoteChar"/>
    <w:uiPriority w:val="29"/>
    <w:qFormat/>
    <w:rsid w:val="00FD59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D5901"/>
    <w:rPr>
      <w:i/>
      <w:iCs/>
      <w:color w:val="404040" w:themeColor="text1" w:themeTint="BF"/>
    </w:rPr>
  </w:style>
  <w:style w:type="paragraph" w:styleId="Salutation">
    <w:name w:val="Salutation"/>
    <w:basedOn w:val="Normal"/>
    <w:next w:val="Normal"/>
    <w:link w:val="SalutationChar"/>
    <w:uiPriority w:val="99"/>
    <w:semiHidden/>
    <w:unhideWhenUsed/>
    <w:rsid w:val="00FD5901"/>
  </w:style>
  <w:style w:type="character" w:customStyle="1" w:styleId="SalutationChar">
    <w:name w:val="Salutation Char"/>
    <w:basedOn w:val="DefaultParagraphFont"/>
    <w:link w:val="Salutation"/>
    <w:uiPriority w:val="99"/>
    <w:semiHidden/>
    <w:rsid w:val="00FD5901"/>
  </w:style>
  <w:style w:type="paragraph" w:styleId="Signature">
    <w:name w:val="Signature"/>
    <w:basedOn w:val="Normal"/>
    <w:link w:val="SignatureChar"/>
    <w:uiPriority w:val="99"/>
    <w:semiHidden/>
    <w:unhideWhenUsed/>
    <w:rsid w:val="00FD5901"/>
    <w:pPr>
      <w:spacing w:after="0" w:line="240" w:lineRule="auto"/>
      <w:ind w:left="4320"/>
    </w:pPr>
  </w:style>
  <w:style w:type="character" w:customStyle="1" w:styleId="SignatureChar">
    <w:name w:val="Signature Char"/>
    <w:basedOn w:val="DefaultParagraphFont"/>
    <w:link w:val="Signature"/>
    <w:uiPriority w:val="99"/>
    <w:semiHidden/>
    <w:rsid w:val="00FD5901"/>
  </w:style>
  <w:style w:type="paragraph" w:styleId="Subtitle">
    <w:name w:val="Subtitle"/>
    <w:basedOn w:val="Normal"/>
    <w:next w:val="Normal"/>
    <w:link w:val="SubtitleChar"/>
    <w:uiPriority w:val="11"/>
    <w:qFormat/>
    <w:rsid w:val="00FD5901"/>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FD5901"/>
    <w:rPr>
      <w:rFonts w:asciiTheme="minorHAnsi" w:eastAsiaTheme="minorEastAsia" w:hAnsiTheme="minorHAnsi"/>
      <w:color w:val="5A5A5A" w:themeColor="text1" w:themeTint="A5"/>
      <w:spacing w:val="15"/>
    </w:rPr>
  </w:style>
  <w:style w:type="paragraph" w:styleId="TableofAuthorities">
    <w:name w:val="table of authorities"/>
    <w:basedOn w:val="Normal"/>
    <w:next w:val="Normal"/>
    <w:uiPriority w:val="99"/>
    <w:semiHidden/>
    <w:unhideWhenUsed/>
    <w:rsid w:val="00FD5901"/>
    <w:pPr>
      <w:spacing w:after="0"/>
      <w:ind w:left="220" w:hanging="220"/>
    </w:pPr>
  </w:style>
  <w:style w:type="paragraph" w:styleId="TableofFigures">
    <w:name w:val="table of figures"/>
    <w:basedOn w:val="Normal"/>
    <w:next w:val="Normal"/>
    <w:uiPriority w:val="99"/>
    <w:semiHidden/>
    <w:unhideWhenUsed/>
    <w:rsid w:val="00FD5901"/>
    <w:pPr>
      <w:spacing w:after="0"/>
    </w:pPr>
  </w:style>
  <w:style w:type="paragraph" w:styleId="Title">
    <w:name w:val="Title"/>
    <w:basedOn w:val="Normal"/>
    <w:next w:val="Normal"/>
    <w:link w:val="TitleChar"/>
    <w:uiPriority w:val="10"/>
    <w:qFormat/>
    <w:rsid w:val="00FD59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90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D590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D5901"/>
    <w:pPr>
      <w:spacing w:after="100"/>
    </w:pPr>
  </w:style>
  <w:style w:type="paragraph" w:styleId="TOC2">
    <w:name w:val="toc 2"/>
    <w:basedOn w:val="Normal"/>
    <w:next w:val="Normal"/>
    <w:autoRedefine/>
    <w:uiPriority w:val="39"/>
    <w:semiHidden/>
    <w:unhideWhenUsed/>
    <w:rsid w:val="00FD5901"/>
    <w:pPr>
      <w:spacing w:after="100"/>
      <w:ind w:left="220"/>
    </w:pPr>
  </w:style>
  <w:style w:type="paragraph" w:styleId="TOC3">
    <w:name w:val="toc 3"/>
    <w:basedOn w:val="Normal"/>
    <w:next w:val="Normal"/>
    <w:autoRedefine/>
    <w:uiPriority w:val="39"/>
    <w:semiHidden/>
    <w:unhideWhenUsed/>
    <w:rsid w:val="00FD5901"/>
    <w:pPr>
      <w:spacing w:after="100"/>
      <w:ind w:left="440"/>
    </w:pPr>
  </w:style>
  <w:style w:type="paragraph" w:styleId="TOC4">
    <w:name w:val="toc 4"/>
    <w:basedOn w:val="Normal"/>
    <w:next w:val="Normal"/>
    <w:autoRedefine/>
    <w:uiPriority w:val="39"/>
    <w:semiHidden/>
    <w:unhideWhenUsed/>
    <w:rsid w:val="00FD5901"/>
    <w:pPr>
      <w:spacing w:after="100"/>
      <w:ind w:left="660"/>
    </w:pPr>
  </w:style>
  <w:style w:type="paragraph" w:styleId="TOC5">
    <w:name w:val="toc 5"/>
    <w:basedOn w:val="Normal"/>
    <w:next w:val="Normal"/>
    <w:autoRedefine/>
    <w:uiPriority w:val="39"/>
    <w:semiHidden/>
    <w:unhideWhenUsed/>
    <w:rsid w:val="00FD5901"/>
    <w:pPr>
      <w:spacing w:after="100"/>
      <w:ind w:left="880"/>
    </w:pPr>
  </w:style>
  <w:style w:type="paragraph" w:styleId="TOC6">
    <w:name w:val="toc 6"/>
    <w:basedOn w:val="Normal"/>
    <w:next w:val="Normal"/>
    <w:autoRedefine/>
    <w:uiPriority w:val="39"/>
    <w:semiHidden/>
    <w:unhideWhenUsed/>
    <w:rsid w:val="00FD5901"/>
    <w:pPr>
      <w:spacing w:after="100"/>
      <w:ind w:left="1100"/>
    </w:pPr>
  </w:style>
  <w:style w:type="paragraph" w:styleId="TOC7">
    <w:name w:val="toc 7"/>
    <w:basedOn w:val="Normal"/>
    <w:next w:val="Normal"/>
    <w:autoRedefine/>
    <w:uiPriority w:val="39"/>
    <w:semiHidden/>
    <w:unhideWhenUsed/>
    <w:rsid w:val="00FD5901"/>
    <w:pPr>
      <w:spacing w:after="100"/>
      <w:ind w:left="1320"/>
    </w:pPr>
  </w:style>
  <w:style w:type="paragraph" w:styleId="TOC8">
    <w:name w:val="toc 8"/>
    <w:basedOn w:val="Normal"/>
    <w:next w:val="Normal"/>
    <w:autoRedefine/>
    <w:uiPriority w:val="39"/>
    <w:semiHidden/>
    <w:unhideWhenUsed/>
    <w:rsid w:val="00FD5901"/>
    <w:pPr>
      <w:spacing w:after="100"/>
      <w:ind w:left="1540"/>
    </w:pPr>
  </w:style>
  <w:style w:type="paragraph" w:styleId="TOC9">
    <w:name w:val="toc 9"/>
    <w:basedOn w:val="Normal"/>
    <w:next w:val="Normal"/>
    <w:autoRedefine/>
    <w:uiPriority w:val="39"/>
    <w:semiHidden/>
    <w:unhideWhenUsed/>
    <w:rsid w:val="00FD5901"/>
    <w:pPr>
      <w:spacing w:after="100"/>
      <w:ind w:left="1760"/>
    </w:pPr>
  </w:style>
  <w:style w:type="paragraph" w:styleId="TOCHeading">
    <w:name w:val="TOC Heading"/>
    <w:basedOn w:val="Heading1"/>
    <w:next w:val="Normal"/>
    <w:uiPriority w:val="39"/>
    <w:semiHidden/>
    <w:unhideWhenUsed/>
    <w:qFormat/>
    <w:rsid w:val="00FD5901"/>
    <w:pPr>
      <w:outlineLvl w:val="9"/>
    </w:pPr>
  </w:style>
  <w:style w:type="table" w:styleId="TableGrid">
    <w:name w:val="Table Grid"/>
    <w:basedOn w:val="TableNormal"/>
    <w:uiPriority w:val="39"/>
    <w:rsid w:val="00971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108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405841">
      <w:bodyDiv w:val="1"/>
      <w:marLeft w:val="0"/>
      <w:marRight w:val="0"/>
      <w:marTop w:val="0"/>
      <w:marBottom w:val="0"/>
      <w:divBdr>
        <w:top w:val="none" w:sz="0" w:space="0" w:color="auto"/>
        <w:left w:val="none" w:sz="0" w:space="0" w:color="auto"/>
        <w:bottom w:val="none" w:sz="0" w:space="0" w:color="auto"/>
        <w:right w:val="none" w:sz="0" w:space="0" w:color="auto"/>
      </w:divBdr>
    </w:div>
    <w:div w:id="1908998511">
      <w:bodyDiv w:val="1"/>
      <w:marLeft w:val="0"/>
      <w:marRight w:val="0"/>
      <w:marTop w:val="0"/>
      <w:marBottom w:val="0"/>
      <w:divBdr>
        <w:top w:val="none" w:sz="0" w:space="0" w:color="auto"/>
        <w:left w:val="none" w:sz="0" w:space="0" w:color="auto"/>
        <w:bottom w:val="none" w:sz="0" w:space="0" w:color="auto"/>
        <w:right w:val="none" w:sz="0" w:space="0" w:color="auto"/>
      </w:divBdr>
    </w:div>
    <w:div w:id="196434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69c962c-ae88-424a-a9f9-e4c4760fc375">VUAW636WM43A-167323429-1034330</_dlc_DocId>
    <_dlc_DocIdUrl xmlns="769c962c-ae88-424a-a9f9-e4c4760fc375">
      <Url>https://mcfadvisors.sharepoint.com/sites/Data/_layouts/15/DocIdRedir.aspx?ID=VUAW636WM43A-167323429-1034330</Url>
      <Description>VUAW636WM43A-167323429-1034330</Description>
    </_dlc_DocIdUrl>
    <TaxCatchAll xmlns="769c962c-ae88-424a-a9f9-e4c4760fc375" xsi:nil="true"/>
    <lcf76f155ced4ddcb4097134ff3c332f xmlns="b1742ad7-3d3e-4e9c-b1c1-17544b8c822e">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FA7429EB4DBD49892B51826055DF24" ma:contentTypeVersion="18" ma:contentTypeDescription="Create a new document." ma:contentTypeScope="" ma:versionID="6d06be14e320e5db2d16fe582010f775">
  <xsd:schema xmlns:xsd="http://www.w3.org/2001/XMLSchema" xmlns:xs="http://www.w3.org/2001/XMLSchema" xmlns:p="http://schemas.microsoft.com/office/2006/metadata/properties" xmlns:ns2="769c962c-ae88-424a-a9f9-e4c4760fc375" xmlns:ns3="b1742ad7-3d3e-4e9c-b1c1-17544b8c822e" targetNamespace="http://schemas.microsoft.com/office/2006/metadata/properties" ma:root="true" ma:fieldsID="d849545d1ba92073b522d2201a949b69" ns2:_="" ns3:_="">
    <xsd:import namespace="769c962c-ae88-424a-a9f9-e4c4760fc375"/>
    <xsd:import namespace="b1742ad7-3d3e-4e9c-b1c1-17544b8c82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2:SharedWithUsers" minOccurs="0"/>
                <xsd:element ref="ns2:SharedWithDetails" minOccurs="0"/>
                <xsd:element ref="ns3:MediaServiceOCR"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c962c-ae88-424a-a9f9-e4c4760fc37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4749b67-ba4d-471d-849e-0c9fdcb1b2c4}" ma:internalName="TaxCatchAll" ma:showField="CatchAllData" ma:web="769c962c-ae88-424a-a9f9-e4c4760fc37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742ad7-3d3e-4e9c-b1c1-17544b8c82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f2a912e-34fd-488e-8e63-a7f1d16cf2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180D6-D2A3-49F9-9AE6-FBA0E7C4DB0D}">
  <ds:schemaRefs>
    <ds:schemaRef ds:uri="http://schemas.microsoft.com/office/2006/metadata/properties"/>
    <ds:schemaRef ds:uri="http://schemas.microsoft.com/office/infopath/2007/PartnerControls"/>
    <ds:schemaRef ds:uri="769c962c-ae88-424a-a9f9-e4c4760fc375"/>
    <ds:schemaRef ds:uri="b1742ad7-3d3e-4e9c-b1c1-17544b8c822e"/>
  </ds:schemaRefs>
</ds:datastoreItem>
</file>

<file path=customXml/itemProps2.xml><?xml version="1.0" encoding="utf-8"?>
<ds:datastoreItem xmlns:ds="http://schemas.openxmlformats.org/officeDocument/2006/customXml" ds:itemID="{EDF908BE-0EFE-4175-AD30-3B9C86B14B6C}">
  <ds:schemaRefs>
    <ds:schemaRef ds:uri="http://schemas.microsoft.com/sharepoint/events"/>
  </ds:schemaRefs>
</ds:datastoreItem>
</file>

<file path=customXml/itemProps3.xml><?xml version="1.0" encoding="utf-8"?>
<ds:datastoreItem xmlns:ds="http://schemas.openxmlformats.org/officeDocument/2006/customXml" ds:itemID="{02DB931F-9CA9-471F-A7D9-CBA3D8871E83}">
  <ds:schemaRefs>
    <ds:schemaRef ds:uri="http://schemas.microsoft.com/sharepoint/v3/contenttype/forms"/>
  </ds:schemaRefs>
</ds:datastoreItem>
</file>

<file path=customXml/itemProps4.xml><?xml version="1.0" encoding="utf-8"?>
<ds:datastoreItem xmlns:ds="http://schemas.openxmlformats.org/officeDocument/2006/customXml" ds:itemID="{BF14ABEB-305E-4FC8-905B-EDA5F1998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c962c-ae88-424a-a9f9-e4c4760fc375"/>
    <ds:schemaRef ds:uri="b1742ad7-3d3e-4e9c-b1c1-17544b8c8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43A864-8D83-4D01-988D-4C51B773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Kristopher Kellinghaus</dc:creator>
  <cp:keywords/>
  <dc:description/>
  <cp:lastModifiedBy>Sarah Huster</cp:lastModifiedBy>
  <cp:revision>17</cp:revision>
  <cp:lastPrinted>2023-09-28T20:16:00Z</cp:lastPrinted>
  <dcterms:created xsi:type="dcterms:W3CDTF">2024-09-20T17:24:00Z</dcterms:created>
  <dcterms:modified xsi:type="dcterms:W3CDTF">2024-09-30T12:28:00Z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0x01010041FA7429EB4DBD49892B51826055DF24</vt:lpwstr>
  </property>
  <property fmtid="{D5CDD505-2E9C-101B-9397-08002B2CF9AE}" pid="3" name="_dlc_DocIdItemGuid">
    <vt:lpwstr>e2779a2c-d6dd-48f2-a070-8ff451a31e9a</vt:lpwstr>
  </property>
  <property fmtid="{D5CDD505-2E9C-101B-9397-08002B2CF9AE}" pid="4" name="MediaServiceImageTags">
    <vt:lpwstr/>
  </property>
</Properties>
</file>