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2E1E5" w14:textId="2B4B2B58" w:rsidR="00AD6458" w:rsidRDefault="00F41171">
      <w:pPr>
        <w:rPr>
          <w:rFonts w:ascii="Roboto Black" w:hAnsi="Roboto Black" w:cs="Arial"/>
          <w:color w:val="FFFFFF" w:themeColor="background1"/>
          <w:sz w:val="52"/>
          <w:szCs w:val="52"/>
        </w:rPr>
      </w:pPr>
      <w:r w:rsidRPr="00F41171">
        <w:rPr>
          <w:rFonts w:ascii="Roboto Black" w:hAnsi="Roboto Black" w:cs="Arial"/>
          <w:noProof/>
          <w:color w:val="FFFFFF" w:themeColor="background1"/>
          <w:sz w:val="52"/>
          <w:szCs w:val="52"/>
        </w:rPr>
        <mc:AlternateContent>
          <mc:Choice Requires="wps">
            <w:drawing>
              <wp:anchor distT="45720" distB="45720" distL="114300" distR="114300" simplePos="0" relativeHeight="251658240" behindDoc="0" locked="0" layoutInCell="1" allowOverlap="1" wp14:anchorId="2765D2B2" wp14:editId="354CAC2F">
                <wp:simplePos x="0" y="0"/>
                <wp:positionH relativeFrom="column">
                  <wp:posOffset>218993</wp:posOffset>
                </wp:positionH>
                <wp:positionV relativeFrom="paragraph">
                  <wp:posOffset>149253</wp:posOffset>
                </wp:positionV>
                <wp:extent cx="4991100" cy="4095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09575"/>
                        </a:xfrm>
                        <a:prstGeom prst="rect">
                          <a:avLst/>
                        </a:prstGeom>
                        <a:noFill/>
                        <a:ln w="9525">
                          <a:noFill/>
                          <a:miter lim="800000"/>
                          <a:headEnd/>
                          <a:tailEnd/>
                        </a:ln>
                      </wps:spPr>
                      <wps:txbx>
                        <w:txbxContent>
                          <w:p w14:paraId="5B175E37" w14:textId="6D66B807" w:rsidR="00F41171" w:rsidRPr="005C6EA0" w:rsidRDefault="00F41171">
                            <w:pPr>
                              <w:rPr>
                                <w:b/>
                                <w:bCs/>
                                <w:color w:val="FFFFFF" w:themeColor="background1"/>
                              </w:rPr>
                            </w:pPr>
                            <w:r w:rsidRPr="005C6EA0">
                              <w:rPr>
                                <w:b/>
                                <w:bCs/>
                                <w:color w:val="FFFFFF" w:themeColor="background1"/>
                              </w:rPr>
                              <w:t xml:space="preserve">By: </w:t>
                            </w:r>
                            <w:r w:rsidR="005C6EA0" w:rsidRPr="005C6EA0">
                              <w:rPr>
                                <w:b/>
                                <w:bCs/>
                                <w:color w:val="FFFFFF" w:themeColor="background1"/>
                              </w:rPr>
                              <w:t>Brittany Manning, CPA, CFP®, Chief Operating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5D2B2" id="_x0000_t202" coordsize="21600,21600" o:spt="202" path="m,l,21600r21600,l21600,xe">
                <v:stroke joinstyle="miter"/>
                <v:path gradientshapeok="t" o:connecttype="rect"/>
              </v:shapetype>
              <v:shape id="Text Box 2" o:spid="_x0000_s1026" type="#_x0000_t202" style="position:absolute;margin-left:17.25pt;margin-top:11.75pt;width:393pt;height:3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" filled="f" stroked="f">
                <v:textbox>
                  <w:txbxContent>
                    <w:p w14:paraId="5B175E37" w14:textId="6D66B807" w:rsidR="00F41171" w:rsidRPr="005C6EA0" w:rsidRDefault="00F41171">
                      <w:pPr>
                        <w:rPr>
                          <w:b/>
                          <w:bCs/>
                          <w:color w:val="FFFFFF" w:themeColor="background1"/>
                        </w:rPr>
                      </w:pPr>
                      <w:r w:rsidRPr="005C6EA0">
                        <w:rPr>
                          <w:b/>
                          <w:bCs/>
                          <w:color w:val="FFFFFF" w:themeColor="background1"/>
                        </w:rPr>
                        <w:t xml:space="preserve">By: </w:t>
                      </w:r>
                      <w:r w:rsidR="005C6EA0" w:rsidRPr="005C6EA0">
                        <w:rPr>
                          <w:b/>
                          <w:bCs/>
                          <w:color w:val="FFFFFF" w:themeColor="background1"/>
                        </w:rPr>
                        <w:t>Brittany Manning, CPA, CFP®, Chief Operating Officer</w:t>
                      </w:r>
                    </w:p>
                  </w:txbxContent>
                </v:textbox>
              </v:shape>
            </w:pict>
          </mc:Fallback>
        </mc:AlternateContent>
      </w:r>
    </w:p>
    <w:p w14:paraId="1FAEC6B5" w14:textId="77777777" w:rsidR="00726845" w:rsidRPr="002F612C" w:rsidRDefault="00726845"/>
    <w:p w14:paraId="0FFA50F1" w14:textId="77777777" w:rsidR="00AD6458" w:rsidRDefault="00AD6458"/>
    <w:p w14:paraId="3D100974" w14:textId="300475E2" w:rsidR="00F15CD4" w:rsidRPr="00777090" w:rsidRDefault="00F15CD4" w:rsidP="00F15CD4">
      <w:pPr>
        <w:shd w:val="clear" w:color="auto" w:fill="FFFFFF"/>
        <w:spacing w:before="240" w:after="360" w:line="276" w:lineRule="auto"/>
        <w:rPr>
          <w:rFonts w:eastAsia="Times New Roman" w:cs="Times New Roman"/>
          <w:color w:val="222222"/>
        </w:rPr>
      </w:pPr>
      <w:r w:rsidRPr="00777090">
        <w:rPr>
          <w:rFonts w:eastAsia="Times New Roman" w:cs="Times New Roman"/>
          <w:color w:val="222222"/>
        </w:rPr>
        <w:t xml:space="preserve">By now, most people are aware the Secure Act, passed in 2020, contained major changes to the rules surrounding distribution requirements from Inherited IRAs for </w:t>
      </w:r>
      <w:r w:rsidR="002F591D">
        <w:rPr>
          <w:rFonts w:eastAsia="Times New Roman" w:cs="Times New Roman"/>
          <w:color w:val="222222"/>
        </w:rPr>
        <w:t>accounts</w:t>
      </w:r>
      <w:r w:rsidRPr="00777090">
        <w:rPr>
          <w:rFonts w:eastAsia="Times New Roman" w:cs="Times New Roman"/>
          <w:color w:val="222222"/>
        </w:rPr>
        <w:t xml:space="preserve"> inherited in 2020 or after. Primarily, this law eliminated the Stretch IRA provision for non-spousal beneficiaries. For the last several years, however, the requirements have been vague and undefined by the IRS. </w:t>
      </w:r>
    </w:p>
    <w:p w14:paraId="2B4779F0" w14:textId="12554C12" w:rsidR="00F15CD4" w:rsidRDefault="00F15CD4" w:rsidP="00F15CD4">
      <w:pPr>
        <w:shd w:val="clear" w:color="auto" w:fill="FFFFFF"/>
        <w:spacing w:before="240" w:after="360" w:line="276" w:lineRule="auto"/>
        <w:rPr>
          <w:rFonts w:eastAsia="Times New Roman" w:cs="Times New Roman"/>
          <w:color w:val="222222"/>
        </w:rPr>
      </w:pPr>
      <w:r w:rsidRPr="00777090">
        <w:rPr>
          <w:rFonts w:eastAsia="Times New Roman" w:cs="Times New Roman"/>
          <w:color w:val="222222"/>
        </w:rPr>
        <w:t xml:space="preserve">Recently, the IRS announced its final regulations and requirements for distributions from Inherited IRAs inherited </w:t>
      </w:r>
      <w:r w:rsidR="0052402A">
        <w:rPr>
          <w:rFonts w:eastAsia="Times New Roman" w:cs="Times New Roman"/>
          <w:color w:val="222222"/>
        </w:rPr>
        <w:t xml:space="preserve">in </w:t>
      </w:r>
      <w:r w:rsidRPr="00777090">
        <w:rPr>
          <w:rFonts w:eastAsia="Times New Roman" w:cs="Times New Roman"/>
          <w:color w:val="222222"/>
        </w:rPr>
        <w:t xml:space="preserve">2020 and </w:t>
      </w:r>
      <w:r w:rsidR="002F591D">
        <w:rPr>
          <w:rFonts w:eastAsia="Times New Roman" w:cs="Times New Roman"/>
          <w:color w:val="222222"/>
        </w:rPr>
        <w:t>later</w:t>
      </w:r>
      <w:r w:rsidRPr="00777090">
        <w:rPr>
          <w:rFonts w:eastAsia="Times New Roman" w:cs="Times New Roman"/>
          <w:color w:val="222222"/>
        </w:rPr>
        <w:t xml:space="preserve">. </w:t>
      </w:r>
      <w:r>
        <w:rPr>
          <w:rFonts w:eastAsia="Times New Roman" w:cs="Times New Roman"/>
          <w:color w:val="222222"/>
        </w:rPr>
        <w:t xml:space="preserve">Below are some of the primary categories of beneficiaries and how they have been impacted by the </w:t>
      </w:r>
      <w:r w:rsidR="007F6115">
        <w:rPr>
          <w:rFonts w:eastAsia="Times New Roman" w:cs="Times New Roman"/>
          <w:color w:val="222222"/>
        </w:rPr>
        <w:t>final regulations from the IRS</w:t>
      </w:r>
      <w:r>
        <w:rPr>
          <w:rFonts w:eastAsia="Times New Roman" w:cs="Times New Roman"/>
          <w:color w:val="222222"/>
        </w:rPr>
        <w:t>.</w:t>
      </w:r>
    </w:p>
    <w:p w14:paraId="701DBB02" w14:textId="70D24FA9" w:rsidR="00F15CD4" w:rsidRDefault="00F15CD4" w:rsidP="00F15CD4">
      <w:pPr>
        <w:pStyle w:val="ListParagraph"/>
        <w:numPr>
          <w:ilvl w:val="0"/>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Spousal Beneficiaries: Spouses are still eligible to roll the entire inherited</w:t>
      </w:r>
      <w:r w:rsidR="0009121E">
        <w:rPr>
          <w:rFonts w:eastAsia="Times New Roman" w:cs="Times New Roman"/>
          <w:color w:val="222222"/>
        </w:rPr>
        <w:t xml:space="preserve"> IRA</w:t>
      </w:r>
      <w:r>
        <w:rPr>
          <w:rFonts w:eastAsia="Times New Roman" w:cs="Times New Roman"/>
          <w:color w:val="222222"/>
        </w:rPr>
        <w:t xml:space="preserve"> into their name, thereby treating the IRA as their own. If the decedent has not taken their Required Minimum Distribut</w:t>
      </w:r>
      <w:r w:rsidR="00ED5660">
        <w:rPr>
          <w:rFonts w:eastAsia="Times New Roman" w:cs="Times New Roman"/>
          <w:color w:val="222222"/>
        </w:rPr>
        <w:t>ion</w:t>
      </w:r>
      <w:r w:rsidR="009C3BE7">
        <w:rPr>
          <w:rFonts w:eastAsia="Times New Roman" w:cs="Times New Roman"/>
          <w:color w:val="222222"/>
        </w:rPr>
        <w:t xml:space="preserve"> (RMD)</w:t>
      </w:r>
      <w:r>
        <w:rPr>
          <w:rFonts w:eastAsia="Times New Roman" w:cs="Times New Roman"/>
          <w:color w:val="222222"/>
        </w:rPr>
        <w:t xml:space="preserve"> in the year of passing, the inheriting spouse must satisfy the requirement and take the amount the decedent was required to take from the IRA. They will then take RMDs based on their life expectancy for the remainder of their life. </w:t>
      </w:r>
    </w:p>
    <w:p w14:paraId="3F9C3F3A" w14:textId="77777777" w:rsidR="00F15CD4" w:rsidRDefault="00F15CD4" w:rsidP="00F15CD4">
      <w:pPr>
        <w:pStyle w:val="ListParagraph"/>
        <w:shd w:val="clear" w:color="auto" w:fill="FFFFFF"/>
        <w:spacing w:before="240" w:after="0" w:line="276" w:lineRule="auto"/>
        <w:rPr>
          <w:rFonts w:eastAsia="Times New Roman" w:cs="Times New Roman"/>
          <w:color w:val="222222"/>
        </w:rPr>
      </w:pPr>
    </w:p>
    <w:p w14:paraId="68326584" w14:textId="50AFD27F" w:rsidR="00F15CD4" w:rsidRDefault="00F15CD4" w:rsidP="00F15CD4">
      <w:pPr>
        <w:pStyle w:val="ListParagraph"/>
        <w:numPr>
          <w:ilvl w:val="0"/>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Non-Spousal Beneficiaries: Non-spousal beneficiaries are broken up into t</w:t>
      </w:r>
      <w:r w:rsidR="00517F91">
        <w:rPr>
          <w:rFonts w:eastAsia="Times New Roman" w:cs="Times New Roman"/>
          <w:color w:val="222222"/>
        </w:rPr>
        <w:t>hree</w:t>
      </w:r>
      <w:r>
        <w:rPr>
          <w:rFonts w:eastAsia="Times New Roman" w:cs="Times New Roman"/>
          <w:color w:val="222222"/>
        </w:rPr>
        <w:t xml:space="preserve"> categories. </w:t>
      </w:r>
    </w:p>
    <w:p w14:paraId="706D63CC" w14:textId="77777777" w:rsidR="00F15CD4" w:rsidRPr="00A91439" w:rsidRDefault="00F15CD4" w:rsidP="00F15CD4">
      <w:pPr>
        <w:pStyle w:val="ListParagraph"/>
        <w:rPr>
          <w:rFonts w:eastAsia="Times New Roman" w:cs="Times New Roman"/>
          <w:color w:val="222222"/>
        </w:rPr>
      </w:pPr>
    </w:p>
    <w:p w14:paraId="2F9A8A10" w14:textId="77777777" w:rsidR="00F15CD4" w:rsidRPr="00A91439" w:rsidRDefault="00F15CD4" w:rsidP="00F15CD4">
      <w:pPr>
        <w:pStyle w:val="ListParagraph"/>
        <w:shd w:val="clear" w:color="auto" w:fill="FFFFFF"/>
        <w:spacing w:before="240" w:after="0" w:line="276" w:lineRule="auto"/>
        <w:rPr>
          <w:rFonts w:eastAsia="Times New Roman" w:cs="Times New Roman"/>
          <w:color w:val="222222"/>
        </w:rPr>
      </w:pPr>
    </w:p>
    <w:p w14:paraId="56AF5284" w14:textId="200A16CD" w:rsidR="00F15CD4" w:rsidRDefault="00F15CD4" w:rsidP="00F15CD4">
      <w:pPr>
        <w:pStyle w:val="ListParagraph"/>
        <w:numPr>
          <w:ilvl w:val="1"/>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Eligible designated beneficiaries</w:t>
      </w:r>
      <w:r w:rsidR="00517F91">
        <w:rPr>
          <w:rFonts w:eastAsia="Times New Roman" w:cs="Times New Roman"/>
          <w:color w:val="222222"/>
        </w:rPr>
        <w:t>:</w:t>
      </w:r>
      <w:r>
        <w:rPr>
          <w:rFonts w:eastAsia="Times New Roman" w:cs="Times New Roman"/>
          <w:color w:val="222222"/>
        </w:rPr>
        <w:t xml:space="preserve"> Eligible designated beneficiaries include minor children of the decedent, those who are chronically ill, those who are chronically disabled, and those who are not more than 10 years younger than the decedent. If the beneficiary is deemed to be an eligible designated beneficiary, their required distributions and then length of time which they must be taken will depend on which type of eligible designated beneficiary category they fall into.</w:t>
      </w:r>
    </w:p>
    <w:p w14:paraId="1EFD6F77" w14:textId="77777777" w:rsidR="00F15CD4" w:rsidRDefault="00F15CD4" w:rsidP="00F15CD4">
      <w:pPr>
        <w:pStyle w:val="ListParagraph"/>
        <w:shd w:val="clear" w:color="auto" w:fill="FFFFFF"/>
        <w:spacing w:before="240" w:after="0" w:line="276" w:lineRule="auto"/>
        <w:ind w:left="1440"/>
        <w:rPr>
          <w:rFonts w:eastAsia="Times New Roman" w:cs="Times New Roman"/>
          <w:color w:val="222222"/>
        </w:rPr>
      </w:pPr>
    </w:p>
    <w:p w14:paraId="7BA9F614" w14:textId="1C31DDEC" w:rsidR="00F15CD4" w:rsidRDefault="00F15CD4" w:rsidP="00F15CD4">
      <w:pPr>
        <w:pStyle w:val="ListParagraph"/>
        <w:numPr>
          <w:ilvl w:val="1"/>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 xml:space="preserve">Designated beneficiaries: Those individuals who do not fall into one of the categories to be classified as an eligible designated beneficiary will be deemed a designated beneficiary. For these </w:t>
      </w:r>
      <w:r w:rsidR="00233B44">
        <w:rPr>
          <w:rFonts w:eastAsia="Times New Roman" w:cs="Times New Roman"/>
          <w:color w:val="222222"/>
        </w:rPr>
        <w:t>individuals,</w:t>
      </w:r>
      <w:r>
        <w:rPr>
          <w:rFonts w:eastAsia="Times New Roman" w:cs="Times New Roman"/>
          <w:color w:val="222222"/>
        </w:rPr>
        <w:t xml:space="preserve"> </w:t>
      </w:r>
      <w:r w:rsidR="005E618F">
        <w:rPr>
          <w:rFonts w:eastAsia="Times New Roman" w:cs="Times New Roman"/>
          <w:color w:val="222222"/>
        </w:rPr>
        <w:t>i</w:t>
      </w:r>
      <w:r>
        <w:rPr>
          <w:rFonts w:eastAsia="Times New Roman" w:cs="Times New Roman"/>
          <w:color w:val="222222"/>
        </w:rPr>
        <w:t xml:space="preserve">f the original account owner had begun taking required minimum distributions, the beneficiary must continue taking RMDs. If the decedent had not yet begun their RMDs, no annual distributions are required. In both cases, the full value of the Inherited IRA must be distributed by the end of the tenth year after the year the original account holder died. </w:t>
      </w:r>
    </w:p>
    <w:p w14:paraId="425252E7" w14:textId="77777777" w:rsidR="00F15CD4" w:rsidRPr="001A358B" w:rsidRDefault="00F15CD4" w:rsidP="00F15CD4">
      <w:pPr>
        <w:pStyle w:val="ListParagraph"/>
        <w:rPr>
          <w:rFonts w:eastAsia="Times New Roman" w:cs="Times New Roman"/>
          <w:color w:val="222222"/>
        </w:rPr>
      </w:pPr>
    </w:p>
    <w:p w14:paraId="6B4348A6" w14:textId="77777777" w:rsidR="00F15CD4" w:rsidRDefault="00F15CD4" w:rsidP="00F15CD4">
      <w:pPr>
        <w:pStyle w:val="ListParagraph"/>
        <w:numPr>
          <w:ilvl w:val="1"/>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Non-individual beneficiaries: If the beneficiary of the account is not an individual (such as a charity, organization, or an estate), they are required to take distributions as follows:</w:t>
      </w:r>
    </w:p>
    <w:p w14:paraId="23E948AC" w14:textId="77777777" w:rsidR="00AA7D1C" w:rsidRPr="00AA7D1C" w:rsidRDefault="00AA7D1C" w:rsidP="00AA7D1C">
      <w:pPr>
        <w:pStyle w:val="ListParagraph"/>
        <w:rPr>
          <w:rFonts w:eastAsia="Times New Roman" w:cs="Times New Roman"/>
          <w:color w:val="222222"/>
        </w:rPr>
      </w:pPr>
    </w:p>
    <w:p w14:paraId="0F46F541" w14:textId="77777777" w:rsidR="00F15CD4" w:rsidRPr="006E0343" w:rsidRDefault="00F15CD4" w:rsidP="00F15CD4">
      <w:pPr>
        <w:pStyle w:val="ListParagraph"/>
        <w:rPr>
          <w:rFonts w:eastAsia="Times New Roman" w:cs="Times New Roman"/>
          <w:color w:val="222222"/>
        </w:rPr>
      </w:pPr>
    </w:p>
    <w:p w14:paraId="303B7649" w14:textId="77777777" w:rsidR="00F15CD4" w:rsidRDefault="00F15CD4" w:rsidP="00F15CD4">
      <w:pPr>
        <w:pStyle w:val="ListParagraph"/>
        <w:numPr>
          <w:ilvl w:val="2"/>
          <w:numId w:val="12"/>
        </w:numPr>
        <w:shd w:val="clear" w:color="auto" w:fill="FFFFFF"/>
        <w:spacing w:before="240" w:after="0" w:line="276" w:lineRule="auto"/>
        <w:rPr>
          <w:rFonts w:eastAsia="Times New Roman" w:cs="Times New Roman"/>
          <w:color w:val="222222"/>
        </w:rPr>
      </w:pPr>
      <w:r w:rsidRPr="006E0343">
        <w:rPr>
          <w:rFonts w:eastAsia="Times New Roman" w:cs="Times New Roman"/>
          <w:color w:val="222222"/>
        </w:rPr>
        <w:t xml:space="preserve">If the original IRA </w:t>
      </w:r>
      <w:r>
        <w:rPr>
          <w:rFonts w:eastAsia="Times New Roman" w:cs="Times New Roman"/>
          <w:color w:val="222222"/>
        </w:rPr>
        <w:t xml:space="preserve">account </w:t>
      </w:r>
      <w:r w:rsidRPr="006E0343">
        <w:rPr>
          <w:rFonts w:eastAsia="Times New Roman" w:cs="Times New Roman"/>
          <w:color w:val="222222"/>
        </w:rPr>
        <w:t>owner was required to take RMDs at the time of their death, then RMD distributions are required based on the single life expectancy of the original IRA owner.</w:t>
      </w:r>
    </w:p>
    <w:p w14:paraId="7435A6C8" w14:textId="77777777" w:rsidR="00F15CD4" w:rsidRDefault="00F15CD4" w:rsidP="00F15CD4">
      <w:pPr>
        <w:pStyle w:val="ListParagraph"/>
        <w:numPr>
          <w:ilvl w:val="2"/>
          <w:numId w:val="12"/>
        </w:numPr>
        <w:shd w:val="clear" w:color="auto" w:fill="FFFFFF"/>
        <w:spacing w:before="240" w:after="0" w:line="276" w:lineRule="auto"/>
        <w:rPr>
          <w:rFonts w:eastAsia="Times New Roman" w:cs="Times New Roman"/>
          <w:color w:val="222222"/>
        </w:rPr>
      </w:pPr>
      <w:r>
        <w:rPr>
          <w:rFonts w:eastAsia="Times New Roman" w:cs="Times New Roman"/>
          <w:color w:val="222222"/>
        </w:rPr>
        <w:t>If the original owner had not yet started RMDs, the account falls into the 5-year rule, and must be fully distributed by the end of the fifth year after the original owner’s year of death.</w:t>
      </w:r>
    </w:p>
    <w:p w14:paraId="494C45CF" w14:textId="77777777" w:rsidR="00F15CD4" w:rsidRDefault="00F15CD4" w:rsidP="00F15CD4">
      <w:pPr>
        <w:shd w:val="clear" w:color="auto" w:fill="FFFFFF"/>
        <w:spacing w:before="240" w:after="0" w:line="276" w:lineRule="auto"/>
        <w:rPr>
          <w:rFonts w:eastAsia="Times New Roman" w:cs="Times New Roman"/>
          <w:color w:val="222222"/>
        </w:rPr>
      </w:pPr>
      <w:r>
        <w:rPr>
          <w:rFonts w:eastAsia="Times New Roman" w:cs="Times New Roman"/>
          <w:color w:val="222222"/>
        </w:rPr>
        <w:t xml:space="preserve">Rules surrounding required distributions from Inherited IRAs are now more complex than ever before. It is important to review all the details surrounding an inherited IRA account so that the appropriate </w:t>
      </w:r>
      <w:proofErr w:type="gramStart"/>
      <w:r>
        <w:rPr>
          <w:rFonts w:eastAsia="Times New Roman" w:cs="Times New Roman"/>
          <w:color w:val="222222"/>
        </w:rPr>
        <w:t>amount</w:t>
      </w:r>
      <w:proofErr w:type="gramEnd"/>
      <w:r>
        <w:rPr>
          <w:rFonts w:eastAsia="Times New Roman" w:cs="Times New Roman"/>
          <w:color w:val="222222"/>
        </w:rPr>
        <w:t xml:space="preserve"> of annual withdrawals can be satisfied, and the account can be distributed within the allowable timeframe to avoid any penalties from the IRS.</w:t>
      </w:r>
    </w:p>
    <w:p w14:paraId="0E1EF97C" w14:textId="77777777" w:rsidR="00F15CD4" w:rsidRPr="00F41B62" w:rsidRDefault="00F15CD4" w:rsidP="00F15CD4">
      <w:pPr>
        <w:shd w:val="clear" w:color="auto" w:fill="FFFFFF"/>
        <w:spacing w:before="240" w:after="0" w:line="276" w:lineRule="auto"/>
        <w:rPr>
          <w:rFonts w:eastAsia="Times New Roman" w:cs="Times New Roman"/>
          <w:color w:val="222222"/>
        </w:rPr>
      </w:pPr>
      <w:r>
        <w:rPr>
          <w:rFonts w:eastAsia="Times New Roman" w:cs="Times New Roman"/>
          <w:color w:val="222222"/>
        </w:rPr>
        <w:t xml:space="preserve">Please reach out to us with any questions regarding your Inherited IRA accounts and your required distributions. </w:t>
      </w:r>
    </w:p>
    <w:p w14:paraId="6685B89F" w14:textId="6DF90773" w:rsidR="004F37EB" w:rsidRDefault="004F37EB" w:rsidP="001814E6">
      <w:pPr>
        <w:rPr>
          <w:rFonts w:eastAsia="Times New Roman" w:cs="Times New Roman"/>
          <w:color w:val="000000"/>
          <w:sz w:val="24"/>
          <w:szCs w:val="24"/>
        </w:rPr>
      </w:pPr>
    </w:p>
    <w:p w14:paraId="30E74010" w14:textId="36A6A0F9" w:rsidR="005A30F0" w:rsidRPr="009C3BE7" w:rsidRDefault="00000000" w:rsidP="001814E6">
      <w:pPr>
        <w:rPr>
          <w:rFonts w:eastAsia="Times New Roman" w:cs="Times New Roman"/>
          <w:i/>
          <w:iCs/>
          <w:color w:val="000000"/>
          <w:sz w:val="16"/>
          <w:szCs w:val="16"/>
        </w:rPr>
      </w:pPr>
      <w:hyperlink r:id="rId12" w:history="1">
        <w:r w:rsidR="009C3BE7" w:rsidRPr="00447B91">
          <w:rPr>
            <w:rStyle w:val="Hyperlink"/>
            <w:rFonts w:eastAsia="Times New Roman" w:cs="Times New Roman"/>
            <w:i/>
            <w:iCs/>
            <w:sz w:val="16"/>
            <w:szCs w:val="16"/>
          </w:rPr>
          <w:t>https://www.dol.gov/agencies/ebsa/laws-and-regulations/laws/secure-act#:~:text=Setting%20Every%20Community%20Up%20for,Act)%20%7C%20U.S.%20Department%20of%20Labor</w:t>
        </w:r>
      </w:hyperlink>
    </w:p>
    <w:p w14:paraId="0DA5CCC9" w14:textId="1BC321DE" w:rsidR="006F46F4" w:rsidRPr="002A6685" w:rsidRDefault="006F46F4" w:rsidP="001814E6">
      <w:pPr>
        <w:rPr>
          <w:b/>
          <w:bCs/>
          <w:sz w:val="18"/>
          <w:szCs w:val="18"/>
        </w:rPr>
      </w:pPr>
      <w:r w:rsidRPr="002A6685">
        <w:rPr>
          <w:b/>
          <w:bCs/>
          <w:sz w:val="18"/>
          <w:szCs w:val="18"/>
        </w:rPr>
        <w:t xml:space="preserve">IMPORTANT DISCLOSURE INFORMATION </w:t>
      </w:r>
    </w:p>
    <w:p w14:paraId="2567B96C" w14:textId="78606F35" w:rsidR="00AD6458" w:rsidRPr="002A6685" w:rsidRDefault="006F46F4" w:rsidP="001814E6">
      <w:pPr>
        <w:rPr>
          <w:sz w:val="18"/>
          <w:szCs w:val="18"/>
        </w:rPr>
      </w:pPr>
      <w:r w:rsidRPr="002A6685">
        <w:rPr>
          <w:sz w:val="18"/>
          <w:szCs w:val="18"/>
        </w:rPr>
        <w:t xml:space="preserve">MCF Advisors, LLC (“MCF”) is a SEC registered investment adviser. Registration as an investment adviser does not imply a certain level of skill or training. The oral and written communications of an adviser provide you with information about which you determine to hire or retain an adviser. </w:t>
      </w:r>
    </w:p>
    <w:p w14:paraId="5182E1A9" w14:textId="5A0E1864" w:rsidR="001814E6" w:rsidRDefault="006F46F4" w:rsidP="00A9004D">
      <w:pPr>
        <w:rPr>
          <w:rFonts w:asciiTheme="minorHAnsi" w:eastAsia="Times New Roman" w:hAnsiTheme="minorHAnsi" w:cstheme="minorHAnsi"/>
          <w:sz w:val="16"/>
          <w:szCs w:val="16"/>
        </w:rPr>
      </w:pPr>
      <w:r w:rsidRPr="002A6685">
        <w:rPr>
          <w:sz w:val="18"/>
          <w:szCs w:val="18"/>
        </w:rPr>
        <w:t xml:space="preserve">More information about the adviser can also be found by visiting: https://adviserinfo.sec.gov/. This is not intended as an offer or solicitation with respect to the purchase or sale of any security. MCF may only transact business in those states in which it is </w:t>
      </w:r>
      <w:proofErr w:type="gramStart"/>
      <w:r w:rsidRPr="002A6685">
        <w:rPr>
          <w:sz w:val="18"/>
          <w:szCs w:val="18"/>
        </w:rPr>
        <w:t>registered, or</w:t>
      </w:r>
      <w:proofErr w:type="gramEnd"/>
      <w:r w:rsidRPr="002A6685">
        <w:rPr>
          <w:sz w:val="18"/>
          <w:szCs w:val="18"/>
        </w:rPr>
        <w:t xml:space="preserve"> qualifies for an exemption or exclusion from registration requirements. Please remember that past performance may not be indicative of future results.</w:t>
      </w:r>
      <w:r w:rsidR="00923BD4" w:rsidRPr="00923BD4">
        <w:rPr>
          <w:sz w:val="18"/>
          <w:szCs w:val="18"/>
        </w:rPr>
        <w:t xml:space="preserve"> </w:t>
      </w:r>
      <w:r w:rsidR="00923BD4" w:rsidRPr="00923BD4">
        <w:rPr>
          <w:rFonts w:eastAsia="Times New Roman" w:cstheme="minorHAnsi"/>
          <w:iCs/>
          <w:sz w:val="18"/>
          <w:szCs w:val="18"/>
          <w:lang w:val="x-none"/>
        </w:rPr>
        <w:t>Information prepared from third-party sources is</w:t>
      </w:r>
      <w:r w:rsidR="00923BD4" w:rsidRPr="00923BD4">
        <w:rPr>
          <w:rFonts w:eastAsia="Times New Roman" w:cstheme="minorHAnsi"/>
          <w:iCs/>
          <w:sz w:val="18"/>
          <w:szCs w:val="18"/>
        </w:rPr>
        <w:t xml:space="preserve"> </w:t>
      </w:r>
      <w:r w:rsidR="00923BD4" w:rsidRPr="00923BD4">
        <w:rPr>
          <w:rFonts w:eastAsia="Times New Roman" w:cstheme="minorHAnsi"/>
          <w:iCs/>
          <w:sz w:val="18"/>
          <w:szCs w:val="18"/>
          <w:lang w:val="x-none"/>
        </w:rPr>
        <w:t>believed to be reliable though its accuracy is not guaranteed.</w:t>
      </w:r>
      <w:r w:rsidR="00923BD4" w:rsidRPr="00923BD4">
        <w:rPr>
          <w:rFonts w:ascii="DINOT" w:eastAsia="Times New Roman" w:hAnsi="DINOT" w:cstheme="minorHAnsi"/>
          <w:i/>
          <w:sz w:val="18"/>
          <w:szCs w:val="18"/>
          <w:lang w:val="x-none"/>
        </w:rPr>
        <w:t xml:space="preserve"> </w:t>
      </w:r>
      <w:r w:rsidRPr="00923BD4">
        <w:rPr>
          <w:sz w:val="18"/>
          <w:szCs w:val="18"/>
        </w:rPr>
        <w:t xml:space="preserve"> Different </w:t>
      </w:r>
      <w:r w:rsidRPr="002A6685">
        <w:rPr>
          <w:sz w:val="18"/>
          <w:szCs w:val="18"/>
        </w:rPr>
        <w:t>types of investments involve varying degrees of risk, and there can be no assurance that the future performance of any specific investment, investment strategy, or product (including the investments and/or investment strategies recommended or undertaken by MCF), or any non-investment related content, made reference to directly or indirectly in this blog/newsletter will be profitable, equal any corresponding indicated historical performance level(s), be suitable for your portfolio or individual situation, or prove successful. Due to various factors, including changing market conditions and/or applicable laws, the content may no longer be reflective of current opinions or positions. Moreover, you should not assume that any discussion or information contained in this blog/newsletter serves as the receipt of, or as a substitute for, personalized investment advice from MCF. To the extent that a reader has any questions regarding the applicability of any specific issue discussed above to his/her individual situation, he/she is encouraged to consult with the professional advisor of his/her choosing. MCF is neither a law firm nor a certified public accounting firm and no portion of this content should be construed as legal or accounting advice. A copy of MCF’s current written disclosure statement and customer relationship summary (“Form CRS”) discussing our advisory services and fees continues to remain available upon request. The scope of the services to be provided depends upon the needs of the client and the terms of the engagement. If you are a MCF client, please remember to contact MCF, in writing, if there are any changes in your personal/financial situation or investment objectives for the purpose of reviewing/evaluating/revising our previous recommendations and/or services.</w:t>
      </w:r>
    </w:p>
    <w:p w14:paraId="7391A77D" w14:textId="77777777" w:rsidR="00A9004D" w:rsidRDefault="00A9004D" w:rsidP="00A9004D">
      <w:pPr>
        <w:rPr>
          <w:rFonts w:asciiTheme="minorHAnsi" w:eastAsia="Times New Roman" w:hAnsiTheme="minorHAnsi" w:cstheme="minorHAnsi"/>
          <w:sz w:val="16"/>
          <w:szCs w:val="16"/>
        </w:rPr>
      </w:pPr>
    </w:p>
    <w:p w14:paraId="098A6CFE" w14:textId="77777777" w:rsidR="00A9004D" w:rsidRDefault="00A9004D" w:rsidP="00A9004D">
      <w:pPr>
        <w:rPr>
          <w:rFonts w:asciiTheme="minorHAnsi" w:eastAsia="Times New Roman" w:hAnsiTheme="minorHAnsi" w:cstheme="minorHAnsi"/>
          <w:sz w:val="16"/>
          <w:szCs w:val="16"/>
        </w:rPr>
      </w:pPr>
    </w:p>
    <w:p w14:paraId="4AD744D3" w14:textId="77777777" w:rsidR="00A9004D" w:rsidRDefault="00A9004D" w:rsidP="00A9004D">
      <w:pPr>
        <w:rPr>
          <w:rFonts w:asciiTheme="minorHAnsi" w:eastAsia="Times New Roman" w:hAnsiTheme="minorHAnsi" w:cstheme="minorHAnsi"/>
          <w:sz w:val="16"/>
          <w:szCs w:val="16"/>
        </w:rPr>
      </w:pPr>
    </w:p>
    <w:p w14:paraId="00978C37" w14:textId="77777777" w:rsidR="00A9004D" w:rsidRDefault="00A9004D" w:rsidP="00A9004D">
      <w:pPr>
        <w:rPr>
          <w:rFonts w:asciiTheme="minorHAnsi" w:eastAsia="Times New Roman" w:hAnsiTheme="minorHAnsi" w:cstheme="minorHAnsi"/>
          <w:sz w:val="16"/>
          <w:szCs w:val="16"/>
        </w:rPr>
      </w:pPr>
    </w:p>
    <w:p w14:paraId="5C965F21" w14:textId="77777777" w:rsidR="00A9004D" w:rsidRDefault="00A9004D" w:rsidP="00A9004D">
      <w:pPr>
        <w:rPr>
          <w:rFonts w:asciiTheme="minorHAnsi" w:eastAsia="Times New Roman" w:hAnsiTheme="minorHAnsi" w:cstheme="minorHAnsi"/>
          <w:sz w:val="16"/>
          <w:szCs w:val="16"/>
        </w:rPr>
      </w:pPr>
    </w:p>
    <w:p w14:paraId="2FA20287" w14:textId="77777777" w:rsidR="00A9004D" w:rsidRDefault="00A9004D" w:rsidP="00A9004D">
      <w:pPr>
        <w:rPr>
          <w:rFonts w:asciiTheme="minorHAnsi" w:eastAsia="Times New Roman" w:hAnsiTheme="minorHAnsi" w:cstheme="minorHAnsi"/>
          <w:sz w:val="16"/>
          <w:szCs w:val="16"/>
        </w:rPr>
      </w:pPr>
    </w:p>
    <w:p w14:paraId="5EAA87D7" w14:textId="77777777" w:rsidR="00A9004D" w:rsidRDefault="00A9004D" w:rsidP="00A9004D">
      <w:pPr>
        <w:rPr>
          <w:rFonts w:asciiTheme="minorHAnsi" w:eastAsia="Times New Roman" w:hAnsiTheme="minorHAnsi" w:cstheme="minorHAnsi"/>
          <w:sz w:val="16"/>
          <w:szCs w:val="16"/>
        </w:rPr>
      </w:pPr>
    </w:p>
    <w:p w14:paraId="21BB9283" w14:textId="77777777" w:rsidR="00A9004D" w:rsidRDefault="00A9004D" w:rsidP="00A9004D">
      <w:pPr>
        <w:rPr>
          <w:rFonts w:asciiTheme="minorHAnsi" w:eastAsia="Times New Roman" w:hAnsiTheme="minorHAnsi" w:cstheme="minorHAnsi"/>
          <w:sz w:val="16"/>
          <w:szCs w:val="16"/>
        </w:rPr>
      </w:pPr>
    </w:p>
    <w:p w14:paraId="2C94E623" w14:textId="77777777" w:rsidR="00A9004D" w:rsidRDefault="00A9004D" w:rsidP="00A9004D">
      <w:pPr>
        <w:rPr>
          <w:rFonts w:asciiTheme="minorHAnsi" w:eastAsia="Times New Roman" w:hAnsiTheme="minorHAnsi" w:cstheme="minorHAnsi"/>
          <w:sz w:val="16"/>
          <w:szCs w:val="16"/>
        </w:rPr>
      </w:pPr>
    </w:p>
    <w:p w14:paraId="247D9AFD" w14:textId="77777777" w:rsidR="00A9004D" w:rsidRDefault="00A9004D" w:rsidP="00A9004D">
      <w:pPr>
        <w:rPr>
          <w:rFonts w:asciiTheme="minorHAnsi" w:eastAsia="Times New Roman" w:hAnsiTheme="minorHAnsi" w:cstheme="minorHAnsi"/>
          <w:sz w:val="16"/>
          <w:szCs w:val="16"/>
        </w:rPr>
      </w:pPr>
    </w:p>
    <w:p w14:paraId="4C9D1B44" w14:textId="77777777" w:rsidR="00A9004D" w:rsidRDefault="00A9004D" w:rsidP="00A9004D">
      <w:pPr>
        <w:rPr>
          <w:rFonts w:asciiTheme="minorHAnsi" w:eastAsia="Times New Roman" w:hAnsiTheme="minorHAnsi" w:cstheme="minorHAnsi"/>
          <w:sz w:val="16"/>
          <w:szCs w:val="16"/>
        </w:rPr>
      </w:pPr>
    </w:p>
    <w:p w14:paraId="294AFAE5" w14:textId="77777777" w:rsidR="00A9004D" w:rsidRDefault="00A9004D" w:rsidP="00A9004D">
      <w:pPr>
        <w:rPr>
          <w:rFonts w:asciiTheme="minorHAnsi" w:eastAsia="Times New Roman" w:hAnsiTheme="minorHAnsi" w:cstheme="minorHAnsi"/>
          <w:sz w:val="16"/>
          <w:szCs w:val="16"/>
        </w:rPr>
      </w:pPr>
    </w:p>
    <w:p w14:paraId="44A7743F" w14:textId="77777777" w:rsidR="00A9004D" w:rsidRDefault="00A9004D" w:rsidP="00A9004D">
      <w:pPr>
        <w:rPr>
          <w:rFonts w:asciiTheme="minorHAnsi" w:eastAsia="Times New Roman" w:hAnsiTheme="minorHAnsi" w:cstheme="minorHAnsi"/>
          <w:sz w:val="16"/>
          <w:szCs w:val="16"/>
        </w:rPr>
      </w:pPr>
    </w:p>
    <w:p w14:paraId="55F9C021" w14:textId="77777777" w:rsidR="00A9004D" w:rsidRDefault="00A9004D" w:rsidP="00A9004D">
      <w:pPr>
        <w:rPr>
          <w:rFonts w:asciiTheme="minorHAnsi" w:eastAsia="Times New Roman" w:hAnsiTheme="minorHAnsi" w:cstheme="minorHAnsi"/>
          <w:sz w:val="16"/>
          <w:szCs w:val="16"/>
        </w:rPr>
      </w:pPr>
    </w:p>
    <w:p w14:paraId="3912F063" w14:textId="77777777" w:rsidR="00A9004D" w:rsidRDefault="00A9004D" w:rsidP="00A9004D">
      <w:pPr>
        <w:rPr>
          <w:rFonts w:asciiTheme="minorHAnsi" w:eastAsia="Times New Roman" w:hAnsiTheme="minorHAnsi" w:cstheme="minorHAnsi"/>
          <w:sz w:val="16"/>
          <w:szCs w:val="16"/>
        </w:rPr>
      </w:pPr>
    </w:p>
    <w:p w14:paraId="0456624D" w14:textId="087FC1D0" w:rsidR="0007538B" w:rsidRDefault="0007538B"/>
    <w:sectPr w:rsidR="0007538B" w:rsidSect="00B83DEE">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EA706" w14:textId="77777777" w:rsidR="00423894" w:rsidRDefault="00423894" w:rsidP="00FF15E0">
      <w:pPr>
        <w:spacing w:after="0" w:line="240" w:lineRule="auto"/>
      </w:pPr>
      <w:r>
        <w:separator/>
      </w:r>
    </w:p>
  </w:endnote>
  <w:endnote w:type="continuationSeparator" w:id="0">
    <w:p w14:paraId="6386CB97" w14:textId="77777777" w:rsidR="00423894" w:rsidRDefault="00423894" w:rsidP="00FF15E0">
      <w:pPr>
        <w:spacing w:after="0" w:line="240" w:lineRule="auto"/>
      </w:pPr>
      <w:r>
        <w:continuationSeparator/>
      </w:r>
    </w:p>
  </w:endnote>
  <w:endnote w:type="continuationNotice" w:id="1">
    <w:p w14:paraId="5953EDE7" w14:textId="77777777" w:rsidR="00423894" w:rsidRDefault="00423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Black">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DINOT">
    <w:altName w:val="Calibri"/>
    <w:panose1 w:val="00000000000000000000"/>
    <w:charset w:val="00"/>
    <w:family w:val="auto"/>
    <w:notTrueType/>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E8B6D" w14:textId="77777777" w:rsidR="00FF15E0" w:rsidRDefault="00FF15E0">
    <w:pPr>
      <w:pStyle w:val="Footer"/>
    </w:pPr>
  </w:p>
  <w:p w14:paraId="6DB6DBA5" w14:textId="69D02AD9" w:rsidR="00FF15E0" w:rsidRPr="00FF15E0" w:rsidRDefault="00FF15E0" w:rsidP="00FF15E0">
    <w:pPr>
      <w:pStyle w:val="Footer"/>
      <w:rPr>
        <w:rFonts w:ascii="Arial" w:hAnsi="Arial" w:cs="Arial"/>
        <w:sz w:val="16"/>
      </w:rP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3BDC8" w14:textId="649A3E8D" w:rsidR="006D769C" w:rsidRDefault="00F41171" w:rsidP="00FF15E0">
    <w:pPr>
      <w:pStyle w:val="Footer"/>
      <w:rPr>
        <w:noProof/>
      </w:rPr>
    </w:pPr>
    <w:r>
      <w:rPr>
        <w:noProof/>
      </w:rPr>
      <w:drawing>
        <wp:anchor distT="0" distB="0" distL="114300" distR="114300" simplePos="0" relativeHeight="251658243" behindDoc="1" locked="0" layoutInCell="1" allowOverlap="1" wp14:anchorId="4925E11B" wp14:editId="0C9D5BE9">
          <wp:simplePos x="0" y="0"/>
          <wp:positionH relativeFrom="column">
            <wp:posOffset>-371475</wp:posOffset>
          </wp:positionH>
          <wp:positionV relativeFrom="paragraph">
            <wp:posOffset>10795</wp:posOffset>
          </wp:positionV>
          <wp:extent cx="1085850" cy="542925"/>
          <wp:effectExtent l="0" t="0" r="0" b="9525"/>
          <wp:wrapTight wrapText="bothSides">
            <wp:wrapPolygon edited="0">
              <wp:start x="0" y="0"/>
              <wp:lineTo x="0" y="21221"/>
              <wp:lineTo x="21221" y="21221"/>
              <wp:lineTo x="21221" y="0"/>
              <wp:lineTo x="0" y="0"/>
            </wp:wrapPolygon>
          </wp:wrapTight>
          <wp:docPr id="1113823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8F711" w14:textId="2DBDC779" w:rsidR="00FF15E0" w:rsidRPr="00863D39" w:rsidRDefault="00FF15E0" w:rsidP="00FF15E0">
    <w:pPr>
      <w:pStyle w:val="Foote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AD79A" w14:textId="11474ABD" w:rsidR="00FF15E0" w:rsidRDefault="00F41171">
    <w:pPr>
      <w:pStyle w:val="Footer"/>
    </w:pPr>
    <w:r>
      <w:rPr>
        <w:noProof/>
      </w:rPr>
      <w:drawing>
        <wp:anchor distT="0" distB="0" distL="114300" distR="114300" simplePos="0" relativeHeight="251658246" behindDoc="1" locked="0" layoutInCell="1" allowOverlap="1" wp14:anchorId="68BD3627" wp14:editId="785CAE69">
          <wp:simplePos x="0" y="0"/>
          <wp:positionH relativeFrom="column">
            <wp:posOffset>-381000</wp:posOffset>
          </wp:positionH>
          <wp:positionV relativeFrom="paragraph">
            <wp:posOffset>-41910</wp:posOffset>
          </wp:positionV>
          <wp:extent cx="1085850" cy="542925"/>
          <wp:effectExtent l="0" t="0" r="0" b="9525"/>
          <wp:wrapTight wrapText="bothSides">
            <wp:wrapPolygon edited="0">
              <wp:start x="0" y="0"/>
              <wp:lineTo x="0" y="21221"/>
              <wp:lineTo x="21221" y="21221"/>
              <wp:lineTo x="21221" y="0"/>
              <wp:lineTo x="0" y="0"/>
            </wp:wrapPolygon>
          </wp:wrapTight>
          <wp:docPr id="1070952724"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52724"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4FF5B" w14:textId="68B56096" w:rsidR="00FF15E0" w:rsidRPr="00FF15E0" w:rsidRDefault="00FF15E0" w:rsidP="00FF15E0">
    <w:pPr>
      <w:pStyle w:val="Footer"/>
      <w:rPr>
        <w:rFonts w:ascii="Arial" w:hAnsi="Arial" w:cs="Arial"/>
        <w:sz w:val="16"/>
      </w:rP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27434" w14:textId="77777777" w:rsidR="00423894" w:rsidRDefault="00423894" w:rsidP="00FF15E0">
      <w:pPr>
        <w:spacing w:after="0" w:line="240" w:lineRule="auto"/>
      </w:pPr>
      <w:r>
        <w:separator/>
      </w:r>
    </w:p>
  </w:footnote>
  <w:footnote w:type="continuationSeparator" w:id="0">
    <w:p w14:paraId="09DC67C2" w14:textId="77777777" w:rsidR="00423894" w:rsidRDefault="00423894" w:rsidP="00FF15E0">
      <w:pPr>
        <w:spacing w:after="0" w:line="240" w:lineRule="auto"/>
      </w:pPr>
      <w:r>
        <w:continuationSeparator/>
      </w:r>
    </w:p>
  </w:footnote>
  <w:footnote w:type="continuationNotice" w:id="1">
    <w:p w14:paraId="7A4C827A" w14:textId="77777777" w:rsidR="00423894" w:rsidRDefault="004238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45E7" w14:textId="62B46EF2" w:rsidR="00FF15E0" w:rsidRDefault="00B83DEE">
    <w:pPr>
      <w:pStyle w:val="Header"/>
    </w:pPr>
    <w:r>
      <w:rPr>
        <w:noProof/>
      </w:rPr>
      <mc:AlternateContent>
        <mc:Choice Requires="wps">
          <w:drawing>
            <wp:anchor distT="0" distB="0" distL="114300" distR="114300" simplePos="0" relativeHeight="251658240" behindDoc="1" locked="0" layoutInCell="1" allowOverlap="1" wp14:anchorId="3724AE53" wp14:editId="13ABB602">
              <wp:simplePos x="0" y="0"/>
              <wp:positionH relativeFrom="page">
                <wp:align>right</wp:align>
              </wp:positionH>
              <wp:positionV relativeFrom="paragraph">
                <wp:posOffset>-457200</wp:posOffset>
              </wp:positionV>
              <wp:extent cx="8011160" cy="1152525"/>
              <wp:effectExtent l="0" t="0" r="8890" b="9525"/>
              <wp:wrapNone/>
              <wp:docPr id="91" name="Rectangle 91"/>
              <wp:cNvGraphicFramePr/>
              <a:graphic xmlns:a="http://schemas.openxmlformats.org/drawingml/2006/main">
                <a:graphicData uri="http://schemas.microsoft.com/office/word/2010/wordprocessingShape">
                  <wps:wsp>
                    <wps:cNvSpPr/>
                    <wps:spPr>
                      <a:xfrm>
                        <a:off x="0" y="0"/>
                        <a:ext cx="8011160" cy="1152525"/>
                      </a:xfrm>
                      <a:prstGeom prst="rect">
                        <a:avLst/>
                      </a:prstGeom>
                      <a:solidFill>
                        <a:srgbClr val="003C56"/>
                      </a:solid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txbx>
                      <w:txbxContent>
                        <w:p w14:paraId="6D56250E" w14:textId="3B5391F2" w:rsidR="00AD6458" w:rsidRPr="000F6C9D" w:rsidRDefault="00AD6458" w:rsidP="00AD6458">
                          <w:pPr>
                            <w:ind w:left="1440" w:firstLine="720"/>
                            <w:rPr>
                              <w:rFonts w:ascii="Roboto" w:hAnsi="Roboto" w:cs="Arial"/>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4AE53" id="Rectangle 91" o:spid="_x0000_s1027" style="position:absolute;margin-left:579.6pt;margin-top:-36pt;width:630.8pt;height:9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" fillcolor="#003c56" stroked="f" strokeweight=".5pt">
              <v:textbox>
                <w:txbxContent>
                  <w:p w14:paraId="6D56250E" w14:textId="3B5391F2" w:rsidR="00AD6458" w:rsidRPr="000F6C9D" w:rsidRDefault="00AD6458" w:rsidP="00AD6458">
                    <w:pPr>
                      <w:ind w:left="1440" w:firstLine="720"/>
                      <w:rPr>
                        <w:rFonts w:ascii="Roboto" w:hAnsi="Roboto" w:cs="Arial"/>
                        <w:sz w:val="44"/>
                        <w:szCs w:val="44"/>
                      </w:rPr>
                    </w:pPr>
                  </w:p>
                </w:txbxContent>
              </v:textbox>
              <w10:wrap anchorx="page"/>
            </v:rect>
          </w:pict>
        </mc:Fallback>
      </mc:AlternateContent>
    </w:r>
    <w:r>
      <w:rPr>
        <w:noProof/>
      </w:rPr>
      <w:drawing>
        <wp:anchor distT="0" distB="0" distL="114300" distR="114300" simplePos="0" relativeHeight="251658241" behindDoc="1" locked="0" layoutInCell="1" allowOverlap="1" wp14:anchorId="2251C7B9" wp14:editId="16B30D8D">
          <wp:simplePos x="0" y="0"/>
          <wp:positionH relativeFrom="column">
            <wp:posOffset>-1123950</wp:posOffset>
          </wp:positionH>
          <wp:positionV relativeFrom="paragraph">
            <wp:posOffset>-921385</wp:posOffset>
          </wp:positionV>
          <wp:extent cx="1692910" cy="1692910"/>
          <wp:effectExtent l="0" t="0" r="0" b="0"/>
          <wp:wrapTight wrapText="bothSides">
            <wp:wrapPolygon edited="0">
              <wp:start x="10209" y="1944"/>
              <wp:lineTo x="486" y="5590"/>
              <wp:lineTo x="486" y="8750"/>
              <wp:lineTo x="1215" y="10209"/>
              <wp:lineTo x="2431" y="10209"/>
              <wp:lineTo x="729" y="11910"/>
              <wp:lineTo x="486" y="15556"/>
              <wp:lineTo x="4618" y="17986"/>
              <wp:lineTo x="7049" y="17986"/>
              <wp:lineTo x="9965" y="18959"/>
              <wp:lineTo x="10209" y="19445"/>
              <wp:lineTo x="11181" y="19445"/>
              <wp:lineTo x="11424" y="18959"/>
              <wp:lineTo x="14341" y="17986"/>
              <wp:lineTo x="16771" y="17986"/>
              <wp:lineTo x="21146" y="15556"/>
              <wp:lineTo x="20660" y="11910"/>
              <wp:lineTo x="19202" y="10209"/>
              <wp:lineTo x="20174" y="10209"/>
              <wp:lineTo x="21146" y="8264"/>
              <wp:lineTo x="21146" y="5833"/>
              <wp:lineTo x="17257" y="4132"/>
              <wp:lineTo x="11181" y="1944"/>
              <wp:lineTo x="10209" y="1944"/>
            </wp:wrapPolygon>
          </wp:wrapTight>
          <wp:docPr id="2" name="Picture 1" descr="A picture containing line, graphics,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line, graphics, screenshot, design&#10;&#10;Description automatically generated"/>
                  <pic:cNvPicPr>
                    <a:picLocks noChangeAspect="1"/>
                  </pic:cNvPicPr>
                </pic:nvPicPr>
                <pic:blipFill>
                  <a:blip r:embed="rId1">
                    <a:alphaModFix amt="59000"/>
                    <a:extLst>
                      <a:ext uri="{28A0092B-C50C-407E-A947-70E740481C1C}">
                        <a14:useLocalDpi xmlns:a14="http://schemas.microsoft.com/office/drawing/2010/main" val="0"/>
                      </a:ext>
                    </a:extLst>
                  </a:blip>
                  <a:stretch>
                    <a:fillRect/>
                  </a:stretch>
                </pic:blipFill>
                <pic:spPr>
                  <a:xfrm>
                    <a:off x="0" y="0"/>
                    <a:ext cx="1692910" cy="169291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lc="http://schemas.openxmlformats.org/drawingml/2006/lockedCanvas"/>
                    </a:ext>
                  </a:extLst>
                </pic:spPr>
              </pic:pic>
            </a:graphicData>
          </a:graphic>
          <wp14:sizeRelH relativeFrom="margin">
            <wp14:pctWidth>0</wp14:pctWidth>
          </wp14:sizeRelH>
          <wp14:sizeRelV relativeFrom="margin">
            <wp14:pctHeight>0</wp14:pctHeight>
          </wp14:sizeRelV>
        </wp:anchor>
      </w:drawing>
    </w:r>
    <w:r w:rsidR="00AD6458">
      <w:rPr>
        <w:noProof/>
      </w:rPr>
      <mc:AlternateContent>
        <mc:Choice Requires="wps">
          <w:drawing>
            <wp:anchor distT="0" distB="0" distL="114300" distR="114300" simplePos="0" relativeHeight="251658242" behindDoc="0" locked="0" layoutInCell="1" allowOverlap="1" wp14:anchorId="659B954B" wp14:editId="536578F9">
              <wp:simplePos x="0" y="0"/>
              <wp:positionH relativeFrom="column">
                <wp:posOffset>5219700</wp:posOffset>
              </wp:positionH>
              <wp:positionV relativeFrom="paragraph">
                <wp:posOffset>771525</wp:posOffset>
              </wp:positionV>
              <wp:extent cx="1447800" cy="409575"/>
              <wp:effectExtent l="0" t="0" r="0" b="0"/>
              <wp:wrapNone/>
              <wp:docPr id="483083638" name="Text Box 1"/>
              <wp:cNvGraphicFramePr/>
              <a:graphic xmlns:a="http://schemas.openxmlformats.org/drawingml/2006/main">
                <a:graphicData uri="http://schemas.microsoft.com/office/word/2010/wordprocessingShape">
                  <wps:wsp>
                    <wps:cNvSpPr txBox="1"/>
                    <wps:spPr>
                      <a:xfrm>
                        <a:off x="0" y="0"/>
                        <a:ext cx="1447800" cy="409575"/>
                      </a:xfrm>
                      <a:prstGeom prst="rect">
                        <a:avLst/>
                      </a:prstGeom>
                      <a:noFill/>
                      <a:ln w="6350">
                        <a:noFill/>
                      </a:ln>
                    </wps:spPr>
                    <wps:txbx>
                      <w:txbxContent>
                        <w:p w14:paraId="2A0FB829" w14:textId="243C1D2C" w:rsidR="00AD6458" w:rsidRPr="00AD6458" w:rsidRDefault="00AD6458" w:rsidP="00AD645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9B954B" id="_x0000_t202" coordsize="21600,21600" o:spt="202" path="m,l,21600r21600,l21600,xe">
              <v:stroke joinstyle="miter"/>
              <v:path gradientshapeok="t" o:connecttype="rect"/>
            </v:shapetype>
            <v:shape id="Text Box 1" o:spid="_x0000_s1028" type="#_x0000_t202" style="position:absolute;margin-left:411pt;margin-top:60.75pt;width:114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" filled="f" stroked="f" strokeweight=".5pt">
              <v:textbox>
                <w:txbxContent>
                  <w:p w14:paraId="2A0FB829" w14:textId="243C1D2C" w:rsidR="00AD6458" w:rsidRPr="00AD6458" w:rsidRDefault="00AD6458" w:rsidP="00AD6458">
                    <w:pPr>
                      <w:jc w:val="center"/>
                      <w:rPr>
                        <w:color w:val="FFFFFF" w:themeColor="background1"/>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B694" w14:textId="134DCF73" w:rsidR="00B83DEE" w:rsidRDefault="00B83DEE">
    <w:pPr>
      <w:pStyle w:val="Header"/>
    </w:pPr>
    <w:r>
      <w:rPr>
        <w:noProof/>
      </w:rPr>
      <w:drawing>
        <wp:anchor distT="0" distB="0" distL="114300" distR="114300" simplePos="0" relativeHeight="251658245" behindDoc="0" locked="0" layoutInCell="1" allowOverlap="1" wp14:anchorId="10EE5F73" wp14:editId="5F5A782B">
          <wp:simplePos x="0" y="0"/>
          <wp:positionH relativeFrom="column">
            <wp:posOffset>-742950</wp:posOffset>
          </wp:positionH>
          <wp:positionV relativeFrom="paragraph">
            <wp:posOffset>-457200</wp:posOffset>
          </wp:positionV>
          <wp:extent cx="1800225" cy="1800225"/>
          <wp:effectExtent l="0" t="0" r="0" b="0"/>
          <wp:wrapNone/>
          <wp:docPr id="1936493101" name="Picture 1" descr="A picture containing line, graphics,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line, graphics, screenshot, design&#10;&#10;Description automatically generated"/>
                  <pic:cNvPicPr>
                    <a:picLocks noChangeAspect="1"/>
                  </pic:cNvPicPr>
                </pic:nvPicPr>
                <pic:blipFill>
                  <a:blip r:embed="rId1">
                    <a:alphaModFix amt="59000"/>
                    <a:extLst>
                      <a:ext uri="{28A0092B-C50C-407E-A947-70E740481C1C}">
                        <a14:useLocalDpi xmlns:a14="http://schemas.microsoft.com/office/drawing/2010/main" val="0"/>
                      </a:ext>
                    </a:extLst>
                  </a:blip>
                  <a:stretch>
                    <a:fillRect/>
                  </a:stretch>
                </pic:blipFill>
                <pic:spPr>
                  <a:xfrm>
                    <a:off x="0" y="0"/>
                    <a:ext cx="1800225" cy="1800225"/>
                  </a:xfrm>
                  <a:prstGeom prst="rect">
                    <a:avLst/>
                  </a:prstGeom>
                  <a:extLst>
                    <a:ext uri="{FAA26D3D-D897-4be2-8F04-BA451C77F1D7}">
                      <ma14:placeholderFlag xmlns:lc="http://schemas.openxmlformats.org/drawingml/2006/lockedCanvas"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4" behindDoc="1" locked="0" layoutInCell="1" allowOverlap="1" wp14:anchorId="22F82333" wp14:editId="77FE89AF">
              <wp:simplePos x="0" y="0"/>
              <wp:positionH relativeFrom="page">
                <wp:align>right</wp:align>
              </wp:positionH>
              <wp:positionV relativeFrom="paragraph">
                <wp:posOffset>-457200</wp:posOffset>
              </wp:positionV>
              <wp:extent cx="8011235" cy="1819275"/>
              <wp:effectExtent l="0" t="0" r="8890" b="9525"/>
              <wp:wrapNone/>
              <wp:docPr id="959065123" name="Rectangle 959065123"/>
              <wp:cNvGraphicFramePr/>
              <a:graphic xmlns:a="http://schemas.openxmlformats.org/drawingml/2006/main">
                <a:graphicData uri="http://schemas.microsoft.com/office/word/2010/wordprocessingShape">
                  <wps:wsp>
                    <wps:cNvSpPr/>
                    <wps:spPr>
                      <a:xfrm>
                        <a:off x="0" y="0"/>
                        <a:ext cx="8011235" cy="1819275"/>
                      </a:xfrm>
                      <a:prstGeom prst="rect">
                        <a:avLst/>
                      </a:prstGeom>
                      <a:solidFill>
                        <a:srgbClr val="003C56"/>
                      </a:solid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txbx>
                      <w:txbxContent>
                        <w:p w14:paraId="5AB90085" w14:textId="7BD54403" w:rsidR="00B83DEE" w:rsidRPr="00B3624D" w:rsidRDefault="00B3624D" w:rsidP="00B83DEE">
                          <w:pPr>
                            <w:ind w:left="1440" w:firstLine="720"/>
                            <w:rPr>
                              <w:rFonts w:ascii="Roboto Black" w:hAnsi="Roboto Black" w:cs="Arial"/>
                              <w:sz w:val="40"/>
                              <w:szCs w:val="40"/>
                            </w:rPr>
                          </w:pPr>
                          <w:r w:rsidRPr="00B3624D">
                            <w:rPr>
                              <w:rFonts w:ascii="Roboto Black" w:hAnsi="Roboto Black" w:cs="Arial"/>
                              <w:sz w:val="40"/>
                              <w:szCs w:val="40"/>
                            </w:rPr>
                            <w:t>Inherited IRA Withdrawal Rule</w:t>
                          </w:r>
                          <w:r w:rsidR="00131BF0">
                            <w:rPr>
                              <w:rFonts w:ascii="Roboto Black" w:hAnsi="Roboto Black" w:cs="Arial"/>
                              <w:sz w:val="40"/>
                              <w:szCs w:val="40"/>
                            </w:rPr>
                            <w:t>s</w:t>
                          </w:r>
                          <w:r w:rsidRPr="00B3624D">
                            <w:rPr>
                              <w:rFonts w:ascii="Roboto Black" w:hAnsi="Roboto Black" w:cs="Arial"/>
                              <w:sz w:val="40"/>
                              <w:szCs w:val="40"/>
                            </w:rPr>
                            <w:t xml:space="preserve"> from the Secure 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82333" id="Rectangle 959065123" o:spid="_x0000_s1029" style="position:absolute;margin-left:579.6pt;margin-top:-36pt;width:630.8pt;height:143.25pt;z-index:-2516582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" fillcolor="#003c56" stroked="f" strokeweight=".5pt">
              <v:textbox>
                <w:txbxContent>
                  <w:p w14:paraId="5AB90085" w14:textId="7BD54403" w:rsidR="00B83DEE" w:rsidRPr="00B3624D" w:rsidRDefault="00B3624D" w:rsidP="00B83DEE">
                    <w:pPr>
                      <w:ind w:left="1440" w:firstLine="720"/>
                      <w:rPr>
                        <w:rFonts w:ascii="Roboto Black" w:hAnsi="Roboto Black" w:cs="Arial"/>
                        <w:sz w:val="40"/>
                        <w:szCs w:val="40"/>
                      </w:rPr>
                    </w:pPr>
                    <w:r w:rsidRPr="00B3624D">
                      <w:rPr>
                        <w:rFonts w:ascii="Roboto Black" w:hAnsi="Roboto Black" w:cs="Arial"/>
                        <w:sz w:val="40"/>
                        <w:szCs w:val="40"/>
                      </w:rPr>
                      <w:t>Inherited IRA Withdrawal Rule</w:t>
                    </w:r>
                    <w:r w:rsidR="00131BF0">
                      <w:rPr>
                        <w:rFonts w:ascii="Roboto Black" w:hAnsi="Roboto Black" w:cs="Arial"/>
                        <w:sz w:val="40"/>
                        <w:szCs w:val="40"/>
                      </w:rPr>
                      <w:t>s</w:t>
                    </w:r>
                    <w:r w:rsidRPr="00B3624D">
                      <w:rPr>
                        <w:rFonts w:ascii="Roboto Black" w:hAnsi="Roboto Black" w:cs="Arial"/>
                        <w:sz w:val="40"/>
                        <w:szCs w:val="40"/>
                      </w:rPr>
                      <w:t xml:space="preserve"> from the Secure Act</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6A08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6A07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96DA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FEAA9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F883E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F864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4A80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26D4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34CA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228D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E549AC"/>
    <w:multiLevelType w:val="hybridMultilevel"/>
    <w:tmpl w:val="A75A9E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14077"/>
    <w:multiLevelType w:val="hybridMultilevel"/>
    <w:tmpl w:val="30CA0CC6"/>
    <w:lvl w:ilvl="0" w:tplc="A4C0DE0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872563">
    <w:abstractNumId w:val="9"/>
  </w:num>
  <w:num w:numId="2" w16cid:durableId="1524901649">
    <w:abstractNumId w:val="7"/>
  </w:num>
  <w:num w:numId="3" w16cid:durableId="161438337">
    <w:abstractNumId w:val="6"/>
  </w:num>
  <w:num w:numId="4" w16cid:durableId="456264953">
    <w:abstractNumId w:val="5"/>
  </w:num>
  <w:num w:numId="5" w16cid:durableId="395713329">
    <w:abstractNumId w:val="4"/>
  </w:num>
  <w:num w:numId="6" w16cid:durableId="1177774104">
    <w:abstractNumId w:val="8"/>
  </w:num>
  <w:num w:numId="7" w16cid:durableId="62337189">
    <w:abstractNumId w:val="3"/>
  </w:num>
  <w:num w:numId="8" w16cid:durableId="1353796644">
    <w:abstractNumId w:val="2"/>
  </w:num>
  <w:num w:numId="9" w16cid:durableId="1611014552">
    <w:abstractNumId w:val="1"/>
  </w:num>
  <w:num w:numId="10" w16cid:durableId="1859076313">
    <w:abstractNumId w:val="0"/>
  </w:num>
  <w:num w:numId="11" w16cid:durableId="1558584450">
    <w:abstractNumId w:val="11"/>
  </w:num>
  <w:num w:numId="12" w16cid:durableId="1341544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1-8002-9549, v.1"/>
  </w:docVars>
  <w:rsids>
    <w:rsidRoot w:val="000C23AF"/>
    <w:rsid w:val="000029DC"/>
    <w:rsid w:val="0000456A"/>
    <w:rsid w:val="0001198F"/>
    <w:rsid w:val="00015D70"/>
    <w:rsid w:val="0001720E"/>
    <w:rsid w:val="00021DA4"/>
    <w:rsid w:val="00022EAD"/>
    <w:rsid w:val="00023FD7"/>
    <w:rsid w:val="00030EE0"/>
    <w:rsid w:val="00031AE0"/>
    <w:rsid w:val="00034D87"/>
    <w:rsid w:val="00037747"/>
    <w:rsid w:val="00044034"/>
    <w:rsid w:val="00045873"/>
    <w:rsid w:val="0004663A"/>
    <w:rsid w:val="00047701"/>
    <w:rsid w:val="00053D70"/>
    <w:rsid w:val="00053E1D"/>
    <w:rsid w:val="000579AF"/>
    <w:rsid w:val="00062A75"/>
    <w:rsid w:val="00063DAC"/>
    <w:rsid w:val="0006652F"/>
    <w:rsid w:val="000710C4"/>
    <w:rsid w:val="00071566"/>
    <w:rsid w:val="0007538B"/>
    <w:rsid w:val="00077D98"/>
    <w:rsid w:val="0008028F"/>
    <w:rsid w:val="00080793"/>
    <w:rsid w:val="00082107"/>
    <w:rsid w:val="00083B80"/>
    <w:rsid w:val="000846FC"/>
    <w:rsid w:val="00085B1D"/>
    <w:rsid w:val="000879F2"/>
    <w:rsid w:val="0009121E"/>
    <w:rsid w:val="00092D99"/>
    <w:rsid w:val="00094C2F"/>
    <w:rsid w:val="000A136A"/>
    <w:rsid w:val="000A5418"/>
    <w:rsid w:val="000B015D"/>
    <w:rsid w:val="000B1D06"/>
    <w:rsid w:val="000B299C"/>
    <w:rsid w:val="000B3485"/>
    <w:rsid w:val="000B37A8"/>
    <w:rsid w:val="000B5AA7"/>
    <w:rsid w:val="000B607B"/>
    <w:rsid w:val="000B6E84"/>
    <w:rsid w:val="000C23AF"/>
    <w:rsid w:val="000C7D93"/>
    <w:rsid w:val="000D492B"/>
    <w:rsid w:val="000D54EB"/>
    <w:rsid w:val="000D6442"/>
    <w:rsid w:val="000E3030"/>
    <w:rsid w:val="000E3A6A"/>
    <w:rsid w:val="000E3F2D"/>
    <w:rsid w:val="000E56DD"/>
    <w:rsid w:val="000E675F"/>
    <w:rsid w:val="000E7A70"/>
    <w:rsid w:val="000F298E"/>
    <w:rsid w:val="000F354C"/>
    <w:rsid w:val="000F3D5C"/>
    <w:rsid w:val="000F4F70"/>
    <w:rsid w:val="000F5E95"/>
    <w:rsid w:val="000F69BF"/>
    <w:rsid w:val="000F6C9D"/>
    <w:rsid w:val="00102B17"/>
    <w:rsid w:val="00103776"/>
    <w:rsid w:val="00103E32"/>
    <w:rsid w:val="00104344"/>
    <w:rsid w:val="00105FD3"/>
    <w:rsid w:val="00106B8D"/>
    <w:rsid w:val="001105B0"/>
    <w:rsid w:val="00110792"/>
    <w:rsid w:val="00112785"/>
    <w:rsid w:val="0011625C"/>
    <w:rsid w:val="00117B2C"/>
    <w:rsid w:val="0012052A"/>
    <w:rsid w:val="00120735"/>
    <w:rsid w:val="00122CAE"/>
    <w:rsid w:val="00127D70"/>
    <w:rsid w:val="00131BF0"/>
    <w:rsid w:val="001354AC"/>
    <w:rsid w:val="0013621F"/>
    <w:rsid w:val="00136D1D"/>
    <w:rsid w:val="00141DC4"/>
    <w:rsid w:val="00142822"/>
    <w:rsid w:val="00143071"/>
    <w:rsid w:val="0014675E"/>
    <w:rsid w:val="0016212A"/>
    <w:rsid w:val="001641DB"/>
    <w:rsid w:val="001656FA"/>
    <w:rsid w:val="00170DAE"/>
    <w:rsid w:val="00171A34"/>
    <w:rsid w:val="00171CE0"/>
    <w:rsid w:val="001725B5"/>
    <w:rsid w:val="00176D8A"/>
    <w:rsid w:val="001805B7"/>
    <w:rsid w:val="001814E6"/>
    <w:rsid w:val="00191F05"/>
    <w:rsid w:val="001927B9"/>
    <w:rsid w:val="00194700"/>
    <w:rsid w:val="001A161E"/>
    <w:rsid w:val="001A178A"/>
    <w:rsid w:val="001A1F8F"/>
    <w:rsid w:val="001A481E"/>
    <w:rsid w:val="001A504A"/>
    <w:rsid w:val="001A775C"/>
    <w:rsid w:val="001B0DE9"/>
    <w:rsid w:val="001C5C50"/>
    <w:rsid w:val="001C7D5F"/>
    <w:rsid w:val="001D08F2"/>
    <w:rsid w:val="001D2A9B"/>
    <w:rsid w:val="001D374B"/>
    <w:rsid w:val="001D7220"/>
    <w:rsid w:val="001E0B66"/>
    <w:rsid w:val="001E3C4A"/>
    <w:rsid w:val="001E51A9"/>
    <w:rsid w:val="001E6340"/>
    <w:rsid w:val="001E7773"/>
    <w:rsid w:val="001E7CD2"/>
    <w:rsid w:val="001F19A8"/>
    <w:rsid w:val="001F223D"/>
    <w:rsid w:val="001F3842"/>
    <w:rsid w:val="001F3E58"/>
    <w:rsid w:val="00200282"/>
    <w:rsid w:val="002012BC"/>
    <w:rsid w:val="00201DAE"/>
    <w:rsid w:val="0020442F"/>
    <w:rsid w:val="00204627"/>
    <w:rsid w:val="00204B82"/>
    <w:rsid w:val="002061F7"/>
    <w:rsid w:val="00206655"/>
    <w:rsid w:val="00210397"/>
    <w:rsid w:val="0021084F"/>
    <w:rsid w:val="002114AC"/>
    <w:rsid w:val="002114FA"/>
    <w:rsid w:val="00213546"/>
    <w:rsid w:val="00213E92"/>
    <w:rsid w:val="00214FE4"/>
    <w:rsid w:val="0022749E"/>
    <w:rsid w:val="00233B44"/>
    <w:rsid w:val="00237171"/>
    <w:rsid w:val="00243088"/>
    <w:rsid w:val="0024474F"/>
    <w:rsid w:val="00244EB2"/>
    <w:rsid w:val="0024563D"/>
    <w:rsid w:val="00256E73"/>
    <w:rsid w:val="002639AC"/>
    <w:rsid w:val="002661C3"/>
    <w:rsid w:val="0027407D"/>
    <w:rsid w:val="002744A3"/>
    <w:rsid w:val="002748D6"/>
    <w:rsid w:val="002760A4"/>
    <w:rsid w:val="002841B3"/>
    <w:rsid w:val="002857AD"/>
    <w:rsid w:val="00286309"/>
    <w:rsid w:val="00290A95"/>
    <w:rsid w:val="002910B4"/>
    <w:rsid w:val="002930DF"/>
    <w:rsid w:val="00293DD2"/>
    <w:rsid w:val="002A25D2"/>
    <w:rsid w:val="002A373F"/>
    <w:rsid w:val="002A42AE"/>
    <w:rsid w:val="002A6685"/>
    <w:rsid w:val="002A7895"/>
    <w:rsid w:val="002B0D0D"/>
    <w:rsid w:val="002B55A5"/>
    <w:rsid w:val="002B6788"/>
    <w:rsid w:val="002C17F6"/>
    <w:rsid w:val="002C4D21"/>
    <w:rsid w:val="002C5F52"/>
    <w:rsid w:val="002C7831"/>
    <w:rsid w:val="002D2AE4"/>
    <w:rsid w:val="002D35DE"/>
    <w:rsid w:val="002D4367"/>
    <w:rsid w:val="002E5D21"/>
    <w:rsid w:val="002E676D"/>
    <w:rsid w:val="002E7861"/>
    <w:rsid w:val="002F0763"/>
    <w:rsid w:val="002F3D1D"/>
    <w:rsid w:val="002F427E"/>
    <w:rsid w:val="002F591D"/>
    <w:rsid w:val="002F612C"/>
    <w:rsid w:val="00302B3C"/>
    <w:rsid w:val="0030440D"/>
    <w:rsid w:val="0030647E"/>
    <w:rsid w:val="0030700E"/>
    <w:rsid w:val="0031344C"/>
    <w:rsid w:val="00324456"/>
    <w:rsid w:val="003253A1"/>
    <w:rsid w:val="00326631"/>
    <w:rsid w:val="00332655"/>
    <w:rsid w:val="00332C77"/>
    <w:rsid w:val="00334CDD"/>
    <w:rsid w:val="0033615F"/>
    <w:rsid w:val="0034268D"/>
    <w:rsid w:val="003453E0"/>
    <w:rsid w:val="003455B3"/>
    <w:rsid w:val="00347318"/>
    <w:rsid w:val="00350DFE"/>
    <w:rsid w:val="00352114"/>
    <w:rsid w:val="00352880"/>
    <w:rsid w:val="00360E53"/>
    <w:rsid w:val="00363019"/>
    <w:rsid w:val="0036321B"/>
    <w:rsid w:val="00363943"/>
    <w:rsid w:val="003648E4"/>
    <w:rsid w:val="0036528A"/>
    <w:rsid w:val="0036563A"/>
    <w:rsid w:val="0036607D"/>
    <w:rsid w:val="00370B5A"/>
    <w:rsid w:val="00374FD5"/>
    <w:rsid w:val="00380168"/>
    <w:rsid w:val="00382278"/>
    <w:rsid w:val="003823FF"/>
    <w:rsid w:val="0038597C"/>
    <w:rsid w:val="00393B0F"/>
    <w:rsid w:val="0039523B"/>
    <w:rsid w:val="00395719"/>
    <w:rsid w:val="003A4491"/>
    <w:rsid w:val="003A6EE4"/>
    <w:rsid w:val="003A7C2E"/>
    <w:rsid w:val="003B157E"/>
    <w:rsid w:val="003B210A"/>
    <w:rsid w:val="003B2773"/>
    <w:rsid w:val="003B66D7"/>
    <w:rsid w:val="003B686C"/>
    <w:rsid w:val="003C592D"/>
    <w:rsid w:val="003D077A"/>
    <w:rsid w:val="003D78D5"/>
    <w:rsid w:val="003D7DD4"/>
    <w:rsid w:val="003E424F"/>
    <w:rsid w:val="003E7EDA"/>
    <w:rsid w:val="003F2F7E"/>
    <w:rsid w:val="003F3F82"/>
    <w:rsid w:val="003F5E67"/>
    <w:rsid w:val="00403CF1"/>
    <w:rsid w:val="0040439B"/>
    <w:rsid w:val="0040630E"/>
    <w:rsid w:val="004141D9"/>
    <w:rsid w:val="00420156"/>
    <w:rsid w:val="00423894"/>
    <w:rsid w:val="00423949"/>
    <w:rsid w:val="004312C6"/>
    <w:rsid w:val="00436F39"/>
    <w:rsid w:val="00437A97"/>
    <w:rsid w:val="00437B5D"/>
    <w:rsid w:val="004428AE"/>
    <w:rsid w:val="0044306F"/>
    <w:rsid w:val="00445620"/>
    <w:rsid w:val="00447A14"/>
    <w:rsid w:val="00447B91"/>
    <w:rsid w:val="004560A0"/>
    <w:rsid w:val="004565FC"/>
    <w:rsid w:val="004634B6"/>
    <w:rsid w:val="00465FAC"/>
    <w:rsid w:val="00466365"/>
    <w:rsid w:val="00474F6E"/>
    <w:rsid w:val="0047523D"/>
    <w:rsid w:val="00490F9F"/>
    <w:rsid w:val="004A05DD"/>
    <w:rsid w:val="004A20DE"/>
    <w:rsid w:val="004A5940"/>
    <w:rsid w:val="004A7775"/>
    <w:rsid w:val="004A7F2F"/>
    <w:rsid w:val="004B0C8E"/>
    <w:rsid w:val="004B0E2D"/>
    <w:rsid w:val="004B12F4"/>
    <w:rsid w:val="004B4612"/>
    <w:rsid w:val="004B4EE3"/>
    <w:rsid w:val="004B6315"/>
    <w:rsid w:val="004B7028"/>
    <w:rsid w:val="004C2AF5"/>
    <w:rsid w:val="004C369B"/>
    <w:rsid w:val="004C3CE4"/>
    <w:rsid w:val="004C441B"/>
    <w:rsid w:val="004C44F1"/>
    <w:rsid w:val="004D02C6"/>
    <w:rsid w:val="004D4C8F"/>
    <w:rsid w:val="004D62BC"/>
    <w:rsid w:val="004D7337"/>
    <w:rsid w:val="004E4BA2"/>
    <w:rsid w:val="004E51A7"/>
    <w:rsid w:val="004E52E6"/>
    <w:rsid w:val="004E5B37"/>
    <w:rsid w:val="004F089B"/>
    <w:rsid w:val="004F296A"/>
    <w:rsid w:val="004F37EB"/>
    <w:rsid w:val="004F3D89"/>
    <w:rsid w:val="004F496B"/>
    <w:rsid w:val="00503AF5"/>
    <w:rsid w:val="00504005"/>
    <w:rsid w:val="0050491F"/>
    <w:rsid w:val="00513C92"/>
    <w:rsid w:val="00514A33"/>
    <w:rsid w:val="00517F91"/>
    <w:rsid w:val="0052402A"/>
    <w:rsid w:val="005254C7"/>
    <w:rsid w:val="005267D7"/>
    <w:rsid w:val="0053032D"/>
    <w:rsid w:val="005309ED"/>
    <w:rsid w:val="00532A2D"/>
    <w:rsid w:val="00533A26"/>
    <w:rsid w:val="00533D18"/>
    <w:rsid w:val="005345D9"/>
    <w:rsid w:val="00540618"/>
    <w:rsid w:val="005442B5"/>
    <w:rsid w:val="00556C43"/>
    <w:rsid w:val="00557FFD"/>
    <w:rsid w:val="00560253"/>
    <w:rsid w:val="00561A57"/>
    <w:rsid w:val="00565F66"/>
    <w:rsid w:val="00572FA6"/>
    <w:rsid w:val="00573377"/>
    <w:rsid w:val="00576E32"/>
    <w:rsid w:val="00580EE5"/>
    <w:rsid w:val="00581D94"/>
    <w:rsid w:val="0058311B"/>
    <w:rsid w:val="0058366E"/>
    <w:rsid w:val="00591E8E"/>
    <w:rsid w:val="00595431"/>
    <w:rsid w:val="00595E97"/>
    <w:rsid w:val="00595F93"/>
    <w:rsid w:val="005A30F0"/>
    <w:rsid w:val="005A45D2"/>
    <w:rsid w:val="005A494E"/>
    <w:rsid w:val="005B3EDF"/>
    <w:rsid w:val="005B40B5"/>
    <w:rsid w:val="005B76E9"/>
    <w:rsid w:val="005C00DB"/>
    <w:rsid w:val="005C5348"/>
    <w:rsid w:val="005C5CE0"/>
    <w:rsid w:val="005C69A7"/>
    <w:rsid w:val="005C6EA0"/>
    <w:rsid w:val="005C7B33"/>
    <w:rsid w:val="005D1790"/>
    <w:rsid w:val="005D18E9"/>
    <w:rsid w:val="005E1779"/>
    <w:rsid w:val="005E2D68"/>
    <w:rsid w:val="005E618F"/>
    <w:rsid w:val="005F2260"/>
    <w:rsid w:val="005F31E0"/>
    <w:rsid w:val="005F39BA"/>
    <w:rsid w:val="0060206F"/>
    <w:rsid w:val="0060253D"/>
    <w:rsid w:val="006030FA"/>
    <w:rsid w:val="0060322F"/>
    <w:rsid w:val="006038CB"/>
    <w:rsid w:val="0060680B"/>
    <w:rsid w:val="00607F88"/>
    <w:rsid w:val="0061093D"/>
    <w:rsid w:val="00611DAF"/>
    <w:rsid w:val="00611F6A"/>
    <w:rsid w:val="00613DDF"/>
    <w:rsid w:val="006212DA"/>
    <w:rsid w:val="00623385"/>
    <w:rsid w:val="00625141"/>
    <w:rsid w:val="0063249B"/>
    <w:rsid w:val="00634B32"/>
    <w:rsid w:val="00634B95"/>
    <w:rsid w:val="00634C76"/>
    <w:rsid w:val="006364A7"/>
    <w:rsid w:val="006424F5"/>
    <w:rsid w:val="00642D44"/>
    <w:rsid w:val="0064471D"/>
    <w:rsid w:val="00645380"/>
    <w:rsid w:val="00653F99"/>
    <w:rsid w:val="0065475C"/>
    <w:rsid w:val="00654E25"/>
    <w:rsid w:val="006644C6"/>
    <w:rsid w:val="00665417"/>
    <w:rsid w:val="0067305A"/>
    <w:rsid w:val="006753C9"/>
    <w:rsid w:val="00676CD8"/>
    <w:rsid w:val="006803DB"/>
    <w:rsid w:val="006814A2"/>
    <w:rsid w:val="00681DB2"/>
    <w:rsid w:val="00682607"/>
    <w:rsid w:val="006854C8"/>
    <w:rsid w:val="00686ACA"/>
    <w:rsid w:val="0068783C"/>
    <w:rsid w:val="006912D4"/>
    <w:rsid w:val="00691E82"/>
    <w:rsid w:val="0069506F"/>
    <w:rsid w:val="00695A01"/>
    <w:rsid w:val="006A27BA"/>
    <w:rsid w:val="006A2A38"/>
    <w:rsid w:val="006B16C7"/>
    <w:rsid w:val="006B41C0"/>
    <w:rsid w:val="006B76BE"/>
    <w:rsid w:val="006C6CBA"/>
    <w:rsid w:val="006C6F84"/>
    <w:rsid w:val="006D162F"/>
    <w:rsid w:val="006D3CA2"/>
    <w:rsid w:val="006D576C"/>
    <w:rsid w:val="006D769C"/>
    <w:rsid w:val="006E07E9"/>
    <w:rsid w:val="006E0D25"/>
    <w:rsid w:val="006E48A1"/>
    <w:rsid w:val="006E4E0B"/>
    <w:rsid w:val="006E5248"/>
    <w:rsid w:val="006E53B8"/>
    <w:rsid w:val="006E594B"/>
    <w:rsid w:val="006E5A0D"/>
    <w:rsid w:val="006E63D9"/>
    <w:rsid w:val="006F2790"/>
    <w:rsid w:val="006F33AD"/>
    <w:rsid w:val="006F46F4"/>
    <w:rsid w:val="006F558B"/>
    <w:rsid w:val="006F73D1"/>
    <w:rsid w:val="00701755"/>
    <w:rsid w:val="00702E68"/>
    <w:rsid w:val="00704896"/>
    <w:rsid w:val="00707607"/>
    <w:rsid w:val="00710F07"/>
    <w:rsid w:val="00711669"/>
    <w:rsid w:val="0071302E"/>
    <w:rsid w:val="007160F6"/>
    <w:rsid w:val="007174B0"/>
    <w:rsid w:val="007203C1"/>
    <w:rsid w:val="00725490"/>
    <w:rsid w:val="00726845"/>
    <w:rsid w:val="00726E7A"/>
    <w:rsid w:val="00731426"/>
    <w:rsid w:val="00731C0C"/>
    <w:rsid w:val="0073332F"/>
    <w:rsid w:val="0073379B"/>
    <w:rsid w:val="007349C4"/>
    <w:rsid w:val="00747ACE"/>
    <w:rsid w:val="00755C5A"/>
    <w:rsid w:val="007568AA"/>
    <w:rsid w:val="00761D6D"/>
    <w:rsid w:val="0076512E"/>
    <w:rsid w:val="00765B8E"/>
    <w:rsid w:val="00773341"/>
    <w:rsid w:val="00774B22"/>
    <w:rsid w:val="00775CB3"/>
    <w:rsid w:val="0077629A"/>
    <w:rsid w:val="00776E42"/>
    <w:rsid w:val="00777500"/>
    <w:rsid w:val="00783089"/>
    <w:rsid w:val="00784315"/>
    <w:rsid w:val="00785D48"/>
    <w:rsid w:val="00787C16"/>
    <w:rsid w:val="00790585"/>
    <w:rsid w:val="00794FA0"/>
    <w:rsid w:val="007A7425"/>
    <w:rsid w:val="007B2919"/>
    <w:rsid w:val="007B30AA"/>
    <w:rsid w:val="007B56D3"/>
    <w:rsid w:val="007B56E3"/>
    <w:rsid w:val="007B76C1"/>
    <w:rsid w:val="007C0FD0"/>
    <w:rsid w:val="007C6624"/>
    <w:rsid w:val="007D2B3D"/>
    <w:rsid w:val="007D6C05"/>
    <w:rsid w:val="007D6FA1"/>
    <w:rsid w:val="007F02BA"/>
    <w:rsid w:val="007F6115"/>
    <w:rsid w:val="00802091"/>
    <w:rsid w:val="0080488F"/>
    <w:rsid w:val="0080603E"/>
    <w:rsid w:val="00811626"/>
    <w:rsid w:val="00816EE9"/>
    <w:rsid w:val="008276F5"/>
    <w:rsid w:val="00830DC2"/>
    <w:rsid w:val="0083591A"/>
    <w:rsid w:val="00837BC7"/>
    <w:rsid w:val="0084368D"/>
    <w:rsid w:val="00845F4B"/>
    <w:rsid w:val="00846B6E"/>
    <w:rsid w:val="008531BD"/>
    <w:rsid w:val="008532A4"/>
    <w:rsid w:val="00857DD4"/>
    <w:rsid w:val="00860669"/>
    <w:rsid w:val="00861E51"/>
    <w:rsid w:val="00863D39"/>
    <w:rsid w:val="00863E25"/>
    <w:rsid w:val="008643E7"/>
    <w:rsid w:val="008644C1"/>
    <w:rsid w:val="008661E5"/>
    <w:rsid w:val="00866BCC"/>
    <w:rsid w:val="00866CA8"/>
    <w:rsid w:val="0087079C"/>
    <w:rsid w:val="00871ABF"/>
    <w:rsid w:val="0087484A"/>
    <w:rsid w:val="00874A42"/>
    <w:rsid w:val="00876B5D"/>
    <w:rsid w:val="00876C43"/>
    <w:rsid w:val="0088014B"/>
    <w:rsid w:val="00882CBD"/>
    <w:rsid w:val="00883E91"/>
    <w:rsid w:val="0088508A"/>
    <w:rsid w:val="00885E9A"/>
    <w:rsid w:val="00885F61"/>
    <w:rsid w:val="00890144"/>
    <w:rsid w:val="0089402F"/>
    <w:rsid w:val="0089451C"/>
    <w:rsid w:val="00896309"/>
    <w:rsid w:val="0089712B"/>
    <w:rsid w:val="008976D1"/>
    <w:rsid w:val="008A1DF9"/>
    <w:rsid w:val="008A1FA3"/>
    <w:rsid w:val="008A203E"/>
    <w:rsid w:val="008A7A2E"/>
    <w:rsid w:val="008A7ED3"/>
    <w:rsid w:val="008B3799"/>
    <w:rsid w:val="008B3927"/>
    <w:rsid w:val="008C30E4"/>
    <w:rsid w:val="008C37A0"/>
    <w:rsid w:val="008C6030"/>
    <w:rsid w:val="008D3DBB"/>
    <w:rsid w:val="008D62E7"/>
    <w:rsid w:val="008D67F1"/>
    <w:rsid w:val="008D6934"/>
    <w:rsid w:val="008D7958"/>
    <w:rsid w:val="008E39F7"/>
    <w:rsid w:val="008E3F32"/>
    <w:rsid w:val="008E4081"/>
    <w:rsid w:val="008E5E34"/>
    <w:rsid w:val="008F4944"/>
    <w:rsid w:val="008F4B46"/>
    <w:rsid w:val="008F765F"/>
    <w:rsid w:val="008F7D82"/>
    <w:rsid w:val="00904805"/>
    <w:rsid w:val="0090514C"/>
    <w:rsid w:val="00912E89"/>
    <w:rsid w:val="00913D19"/>
    <w:rsid w:val="00921011"/>
    <w:rsid w:val="00923BD4"/>
    <w:rsid w:val="00924589"/>
    <w:rsid w:val="00924DF3"/>
    <w:rsid w:val="00924E18"/>
    <w:rsid w:val="0092501F"/>
    <w:rsid w:val="0093151B"/>
    <w:rsid w:val="00933C68"/>
    <w:rsid w:val="0093575D"/>
    <w:rsid w:val="00936900"/>
    <w:rsid w:val="00936CDF"/>
    <w:rsid w:val="00937D94"/>
    <w:rsid w:val="00953760"/>
    <w:rsid w:val="009548CA"/>
    <w:rsid w:val="00956634"/>
    <w:rsid w:val="0096366B"/>
    <w:rsid w:val="00965FBF"/>
    <w:rsid w:val="00970E76"/>
    <w:rsid w:val="00971CCF"/>
    <w:rsid w:val="00974E08"/>
    <w:rsid w:val="00981202"/>
    <w:rsid w:val="00985726"/>
    <w:rsid w:val="0098698C"/>
    <w:rsid w:val="00986F3D"/>
    <w:rsid w:val="00994712"/>
    <w:rsid w:val="009977BE"/>
    <w:rsid w:val="00997AAA"/>
    <w:rsid w:val="00997BB7"/>
    <w:rsid w:val="009A0DDA"/>
    <w:rsid w:val="009A1EBC"/>
    <w:rsid w:val="009B025C"/>
    <w:rsid w:val="009B1124"/>
    <w:rsid w:val="009B3753"/>
    <w:rsid w:val="009B4765"/>
    <w:rsid w:val="009B4A9F"/>
    <w:rsid w:val="009B5959"/>
    <w:rsid w:val="009C32F8"/>
    <w:rsid w:val="009C3BE7"/>
    <w:rsid w:val="009C6F87"/>
    <w:rsid w:val="009D080E"/>
    <w:rsid w:val="009D0957"/>
    <w:rsid w:val="009D31FD"/>
    <w:rsid w:val="009D5187"/>
    <w:rsid w:val="009D71D7"/>
    <w:rsid w:val="009D72BC"/>
    <w:rsid w:val="009D79B8"/>
    <w:rsid w:val="009E0181"/>
    <w:rsid w:val="009E1177"/>
    <w:rsid w:val="009E413D"/>
    <w:rsid w:val="009E69BD"/>
    <w:rsid w:val="009E7ED3"/>
    <w:rsid w:val="009F0A4F"/>
    <w:rsid w:val="00A00AF1"/>
    <w:rsid w:val="00A0534C"/>
    <w:rsid w:val="00A13B9A"/>
    <w:rsid w:val="00A13C9C"/>
    <w:rsid w:val="00A2005E"/>
    <w:rsid w:val="00A2462D"/>
    <w:rsid w:val="00A246AD"/>
    <w:rsid w:val="00A2495C"/>
    <w:rsid w:val="00A305DE"/>
    <w:rsid w:val="00A33C04"/>
    <w:rsid w:val="00A346B8"/>
    <w:rsid w:val="00A35941"/>
    <w:rsid w:val="00A43824"/>
    <w:rsid w:val="00A43DA3"/>
    <w:rsid w:val="00A46368"/>
    <w:rsid w:val="00A47740"/>
    <w:rsid w:val="00A50999"/>
    <w:rsid w:val="00A53B8F"/>
    <w:rsid w:val="00A53F3E"/>
    <w:rsid w:val="00A56260"/>
    <w:rsid w:val="00A562EC"/>
    <w:rsid w:val="00A570B9"/>
    <w:rsid w:val="00A65A5E"/>
    <w:rsid w:val="00A666E3"/>
    <w:rsid w:val="00A71EFF"/>
    <w:rsid w:val="00A7452B"/>
    <w:rsid w:val="00A74907"/>
    <w:rsid w:val="00A77857"/>
    <w:rsid w:val="00A80855"/>
    <w:rsid w:val="00A81E1A"/>
    <w:rsid w:val="00A84782"/>
    <w:rsid w:val="00A9004D"/>
    <w:rsid w:val="00A9354F"/>
    <w:rsid w:val="00A95C9E"/>
    <w:rsid w:val="00A95D77"/>
    <w:rsid w:val="00A970F7"/>
    <w:rsid w:val="00AA635A"/>
    <w:rsid w:val="00AA720C"/>
    <w:rsid w:val="00AA7D1C"/>
    <w:rsid w:val="00AB06D7"/>
    <w:rsid w:val="00AB08DF"/>
    <w:rsid w:val="00AB5969"/>
    <w:rsid w:val="00AB5BB7"/>
    <w:rsid w:val="00AC1D38"/>
    <w:rsid w:val="00AC5E3E"/>
    <w:rsid w:val="00AD0513"/>
    <w:rsid w:val="00AD25B5"/>
    <w:rsid w:val="00AD3E5A"/>
    <w:rsid w:val="00AD465A"/>
    <w:rsid w:val="00AD6458"/>
    <w:rsid w:val="00AD7593"/>
    <w:rsid w:val="00AE429A"/>
    <w:rsid w:val="00AE54AC"/>
    <w:rsid w:val="00AF0442"/>
    <w:rsid w:val="00AF1334"/>
    <w:rsid w:val="00AF2B40"/>
    <w:rsid w:val="00AF440E"/>
    <w:rsid w:val="00B00CAF"/>
    <w:rsid w:val="00B01FF8"/>
    <w:rsid w:val="00B048EB"/>
    <w:rsid w:val="00B05710"/>
    <w:rsid w:val="00B05A91"/>
    <w:rsid w:val="00B17414"/>
    <w:rsid w:val="00B17C9C"/>
    <w:rsid w:val="00B25C0D"/>
    <w:rsid w:val="00B33471"/>
    <w:rsid w:val="00B347A6"/>
    <w:rsid w:val="00B356EC"/>
    <w:rsid w:val="00B3624D"/>
    <w:rsid w:val="00B372F9"/>
    <w:rsid w:val="00B40605"/>
    <w:rsid w:val="00B408FF"/>
    <w:rsid w:val="00B40ABA"/>
    <w:rsid w:val="00B42B7F"/>
    <w:rsid w:val="00B42E89"/>
    <w:rsid w:val="00B45DF8"/>
    <w:rsid w:val="00B478B5"/>
    <w:rsid w:val="00B51699"/>
    <w:rsid w:val="00B608E2"/>
    <w:rsid w:val="00B62ACE"/>
    <w:rsid w:val="00B70B72"/>
    <w:rsid w:val="00B71BA9"/>
    <w:rsid w:val="00B74C84"/>
    <w:rsid w:val="00B80833"/>
    <w:rsid w:val="00B824CF"/>
    <w:rsid w:val="00B83667"/>
    <w:rsid w:val="00B83DEE"/>
    <w:rsid w:val="00B8554A"/>
    <w:rsid w:val="00B908E6"/>
    <w:rsid w:val="00B90FDE"/>
    <w:rsid w:val="00B91478"/>
    <w:rsid w:val="00B976D7"/>
    <w:rsid w:val="00B9773D"/>
    <w:rsid w:val="00B979E3"/>
    <w:rsid w:val="00BA136A"/>
    <w:rsid w:val="00BA5D7B"/>
    <w:rsid w:val="00BA7A9C"/>
    <w:rsid w:val="00BB0117"/>
    <w:rsid w:val="00BB0ABC"/>
    <w:rsid w:val="00BB2B2F"/>
    <w:rsid w:val="00BB2EA9"/>
    <w:rsid w:val="00BB5C52"/>
    <w:rsid w:val="00BB6391"/>
    <w:rsid w:val="00BC0BC2"/>
    <w:rsid w:val="00BC1B40"/>
    <w:rsid w:val="00BC5C38"/>
    <w:rsid w:val="00BC63F0"/>
    <w:rsid w:val="00BC7B39"/>
    <w:rsid w:val="00BD17C7"/>
    <w:rsid w:val="00BD3EAE"/>
    <w:rsid w:val="00BD494F"/>
    <w:rsid w:val="00BD799C"/>
    <w:rsid w:val="00BD7A9C"/>
    <w:rsid w:val="00BE0283"/>
    <w:rsid w:val="00BE1DB3"/>
    <w:rsid w:val="00BE2902"/>
    <w:rsid w:val="00BE39FF"/>
    <w:rsid w:val="00BF0F22"/>
    <w:rsid w:val="00BF2FD2"/>
    <w:rsid w:val="00BF37AB"/>
    <w:rsid w:val="00BF452B"/>
    <w:rsid w:val="00BF4B15"/>
    <w:rsid w:val="00BF4EDF"/>
    <w:rsid w:val="00BF7DF2"/>
    <w:rsid w:val="00C00911"/>
    <w:rsid w:val="00C0353A"/>
    <w:rsid w:val="00C03E88"/>
    <w:rsid w:val="00C1082A"/>
    <w:rsid w:val="00C11222"/>
    <w:rsid w:val="00C122F5"/>
    <w:rsid w:val="00C12E98"/>
    <w:rsid w:val="00C150BA"/>
    <w:rsid w:val="00C2083B"/>
    <w:rsid w:val="00C25C51"/>
    <w:rsid w:val="00C2736C"/>
    <w:rsid w:val="00C30EF3"/>
    <w:rsid w:val="00C321EF"/>
    <w:rsid w:val="00C3635F"/>
    <w:rsid w:val="00C401CA"/>
    <w:rsid w:val="00C41081"/>
    <w:rsid w:val="00C4158D"/>
    <w:rsid w:val="00C43BB2"/>
    <w:rsid w:val="00C44870"/>
    <w:rsid w:val="00C54082"/>
    <w:rsid w:val="00C56135"/>
    <w:rsid w:val="00C57946"/>
    <w:rsid w:val="00C6016E"/>
    <w:rsid w:val="00C61A75"/>
    <w:rsid w:val="00C636E3"/>
    <w:rsid w:val="00C72137"/>
    <w:rsid w:val="00C722F2"/>
    <w:rsid w:val="00C73677"/>
    <w:rsid w:val="00C77365"/>
    <w:rsid w:val="00C82965"/>
    <w:rsid w:val="00C8362A"/>
    <w:rsid w:val="00C85053"/>
    <w:rsid w:val="00C963AD"/>
    <w:rsid w:val="00C96B8A"/>
    <w:rsid w:val="00CA325A"/>
    <w:rsid w:val="00CA49AE"/>
    <w:rsid w:val="00CA5BC9"/>
    <w:rsid w:val="00CB4228"/>
    <w:rsid w:val="00CB7A21"/>
    <w:rsid w:val="00CC23C2"/>
    <w:rsid w:val="00CC40A0"/>
    <w:rsid w:val="00CC5919"/>
    <w:rsid w:val="00CC6831"/>
    <w:rsid w:val="00CD0A06"/>
    <w:rsid w:val="00CD1436"/>
    <w:rsid w:val="00CD55CC"/>
    <w:rsid w:val="00CD5920"/>
    <w:rsid w:val="00CE6EAA"/>
    <w:rsid w:val="00CF0951"/>
    <w:rsid w:val="00CF4FC4"/>
    <w:rsid w:val="00D07243"/>
    <w:rsid w:val="00D110AB"/>
    <w:rsid w:val="00D11AA1"/>
    <w:rsid w:val="00D11B5B"/>
    <w:rsid w:val="00D140EC"/>
    <w:rsid w:val="00D1493D"/>
    <w:rsid w:val="00D21FC3"/>
    <w:rsid w:val="00D23DBF"/>
    <w:rsid w:val="00D23F01"/>
    <w:rsid w:val="00D2526B"/>
    <w:rsid w:val="00D272AC"/>
    <w:rsid w:val="00D348C4"/>
    <w:rsid w:val="00D35256"/>
    <w:rsid w:val="00D40B70"/>
    <w:rsid w:val="00D40C4F"/>
    <w:rsid w:val="00D4141F"/>
    <w:rsid w:val="00D44BCA"/>
    <w:rsid w:val="00D44BD1"/>
    <w:rsid w:val="00D450AF"/>
    <w:rsid w:val="00D50893"/>
    <w:rsid w:val="00D50A2E"/>
    <w:rsid w:val="00D516EF"/>
    <w:rsid w:val="00D522AE"/>
    <w:rsid w:val="00D60185"/>
    <w:rsid w:val="00D62265"/>
    <w:rsid w:val="00D66029"/>
    <w:rsid w:val="00D661E3"/>
    <w:rsid w:val="00D66BBC"/>
    <w:rsid w:val="00D76FE5"/>
    <w:rsid w:val="00D808FD"/>
    <w:rsid w:val="00D822B4"/>
    <w:rsid w:val="00D8302D"/>
    <w:rsid w:val="00D855EE"/>
    <w:rsid w:val="00D85612"/>
    <w:rsid w:val="00D85B7F"/>
    <w:rsid w:val="00D9311E"/>
    <w:rsid w:val="00D95A1F"/>
    <w:rsid w:val="00D978E6"/>
    <w:rsid w:val="00DA65A7"/>
    <w:rsid w:val="00DB135C"/>
    <w:rsid w:val="00DB2AA7"/>
    <w:rsid w:val="00DB342C"/>
    <w:rsid w:val="00DB40A9"/>
    <w:rsid w:val="00DC73CF"/>
    <w:rsid w:val="00DD2AEC"/>
    <w:rsid w:val="00DD4D14"/>
    <w:rsid w:val="00DD5832"/>
    <w:rsid w:val="00DD5C07"/>
    <w:rsid w:val="00DD6868"/>
    <w:rsid w:val="00DE1091"/>
    <w:rsid w:val="00DE3609"/>
    <w:rsid w:val="00DE4175"/>
    <w:rsid w:val="00DE599A"/>
    <w:rsid w:val="00DF150D"/>
    <w:rsid w:val="00DF154F"/>
    <w:rsid w:val="00DF2E84"/>
    <w:rsid w:val="00DF45CA"/>
    <w:rsid w:val="00DF4C63"/>
    <w:rsid w:val="00E05CAD"/>
    <w:rsid w:val="00E1105D"/>
    <w:rsid w:val="00E32C88"/>
    <w:rsid w:val="00E34C6B"/>
    <w:rsid w:val="00E419B8"/>
    <w:rsid w:val="00E4485A"/>
    <w:rsid w:val="00E44E7B"/>
    <w:rsid w:val="00E46570"/>
    <w:rsid w:val="00E52654"/>
    <w:rsid w:val="00E5344E"/>
    <w:rsid w:val="00E56543"/>
    <w:rsid w:val="00E5665D"/>
    <w:rsid w:val="00E62816"/>
    <w:rsid w:val="00E6352F"/>
    <w:rsid w:val="00E64427"/>
    <w:rsid w:val="00E6695F"/>
    <w:rsid w:val="00E7181D"/>
    <w:rsid w:val="00E7286C"/>
    <w:rsid w:val="00E77873"/>
    <w:rsid w:val="00E82CDC"/>
    <w:rsid w:val="00E84439"/>
    <w:rsid w:val="00E84A64"/>
    <w:rsid w:val="00E86BFD"/>
    <w:rsid w:val="00E87B56"/>
    <w:rsid w:val="00E87BB2"/>
    <w:rsid w:val="00E90A16"/>
    <w:rsid w:val="00E91BE7"/>
    <w:rsid w:val="00E92ADD"/>
    <w:rsid w:val="00E95930"/>
    <w:rsid w:val="00E97404"/>
    <w:rsid w:val="00EA33E9"/>
    <w:rsid w:val="00EA44B1"/>
    <w:rsid w:val="00EA7C71"/>
    <w:rsid w:val="00EB2B21"/>
    <w:rsid w:val="00EB4296"/>
    <w:rsid w:val="00EB5ADF"/>
    <w:rsid w:val="00EB634F"/>
    <w:rsid w:val="00EC48C7"/>
    <w:rsid w:val="00ED09AF"/>
    <w:rsid w:val="00ED18DE"/>
    <w:rsid w:val="00ED3336"/>
    <w:rsid w:val="00ED5660"/>
    <w:rsid w:val="00ED645E"/>
    <w:rsid w:val="00EE0E14"/>
    <w:rsid w:val="00EE3403"/>
    <w:rsid w:val="00EE64F2"/>
    <w:rsid w:val="00EF0101"/>
    <w:rsid w:val="00EF0426"/>
    <w:rsid w:val="00EF114B"/>
    <w:rsid w:val="00EF46A8"/>
    <w:rsid w:val="00EF6C8C"/>
    <w:rsid w:val="00F01B44"/>
    <w:rsid w:val="00F03393"/>
    <w:rsid w:val="00F06A00"/>
    <w:rsid w:val="00F07D50"/>
    <w:rsid w:val="00F11D19"/>
    <w:rsid w:val="00F15CD4"/>
    <w:rsid w:val="00F23606"/>
    <w:rsid w:val="00F25D97"/>
    <w:rsid w:val="00F27A1E"/>
    <w:rsid w:val="00F30553"/>
    <w:rsid w:val="00F31F9B"/>
    <w:rsid w:val="00F3244C"/>
    <w:rsid w:val="00F32FB8"/>
    <w:rsid w:val="00F3364E"/>
    <w:rsid w:val="00F33D4D"/>
    <w:rsid w:val="00F34056"/>
    <w:rsid w:val="00F346E5"/>
    <w:rsid w:val="00F41171"/>
    <w:rsid w:val="00F41AD3"/>
    <w:rsid w:val="00F439C9"/>
    <w:rsid w:val="00F44B10"/>
    <w:rsid w:val="00F45441"/>
    <w:rsid w:val="00F45B76"/>
    <w:rsid w:val="00F46272"/>
    <w:rsid w:val="00F50E5B"/>
    <w:rsid w:val="00F52D26"/>
    <w:rsid w:val="00F533B4"/>
    <w:rsid w:val="00F54EBA"/>
    <w:rsid w:val="00F56216"/>
    <w:rsid w:val="00F67B26"/>
    <w:rsid w:val="00F72A92"/>
    <w:rsid w:val="00F74E0A"/>
    <w:rsid w:val="00F75063"/>
    <w:rsid w:val="00F77E54"/>
    <w:rsid w:val="00F80D4B"/>
    <w:rsid w:val="00F84EBE"/>
    <w:rsid w:val="00F865C9"/>
    <w:rsid w:val="00F869E2"/>
    <w:rsid w:val="00F917C9"/>
    <w:rsid w:val="00F929B2"/>
    <w:rsid w:val="00F943A7"/>
    <w:rsid w:val="00FA0AE1"/>
    <w:rsid w:val="00FA4340"/>
    <w:rsid w:val="00FA5508"/>
    <w:rsid w:val="00FB12A4"/>
    <w:rsid w:val="00FB1B1F"/>
    <w:rsid w:val="00FB4FC4"/>
    <w:rsid w:val="00FB7129"/>
    <w:rsid w:val="00FC01BD"/>
    <w:rsid w:val="00FC07DF"/>
    <w:rsid w:val="00FC1273"/>
    <w:rsid w:val="00FC164B"/>
    <w:rsid w:val="00FC294D"/>
    <w:rsid w:val="00FC2A44"/>
    <w:rsid w:val="00FC2F9E"/>
    <w:rsid w:val="00FC7CD6"/>
    <w:rsid w:val="00FD1DDD"/>
    <w:rsid w:val="00FD2C30"/>
    <w:rsid w:val="00FD52D8"/>
    <w:rsid w:val="00FD5901"/>
    <w:rsid w:val="00FD6347"/>
    <w:rsid w:val="00FD7A24"/>
    <w:rsid w:val="00FE3B8C"/>
    <w:rsid w:val="00FE5716"/>
    <w:rsid w:val="00FE7E4C"/>
    <w:rsid w:val="00FF15E0"/>
    <w:rsid w:val="00FF5920"/>
    <w:rsid w:val="00FF655A"/>
    <w:rsid w:val="00FF7352"/>
    <w:rsid w:val="100A68A4"/>
    <w:rsid w:val="21F89CEA"/>
    <w:rsid w:val="29AEC377"/>
    <w:rsid w:val="2AA2094A"/>
    <w:rsid w:val="2AC6E0D3"/>
    <w:rsid w:val="2C3DD9AB"/>
    <w:rsid w:val="47B9C7DA"/>
    <w:rsid w:val="48CC71B7"/>
    <w:rsid w:val="51132F2E"/>
    <w:rsid w:val="56C16BE9"/>
    <w:rsid w:val="6081458A"/>
    <w:rsid w:val="75B4C0AA"/>
    <w:rsid w:val="7C34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20B15"/>
  <w15:chartTrackingRefBased/>
  <w15:docId w15:val="{70FC48F1-0E64-4DB4-A588-CEE34827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9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D59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D59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D590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590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590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590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59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59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5E0"/>
  </w:style>
  <w:style w:type="paragraph" w:styleId="Footer">
    <w:name w:val="footer"/>
    <w:basedOn w:val="Normal"/>
    <w:link w:val="FooterChar"/>
    <w:uiPriority w:val="99"/>
    <w:unhideWhenUsed/>
    <w:rsid w:val="00FF1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5E0"/>
  </w:style>
  <w:style w:type="paragraph" w:styleId="Revision">
    <w:name w:val="Revision"/>
    <w:hidden/>
    <w:uiPriority w:val="99"/>
    <w:semiHidden/>
    <w:rsid w:val="0007538B"/>
    <w:pPr>
      <w:spacing w:after="0" w:line="240" w:lineRule="auto"/>
    </w:pPr>
  </w:style>
  <w:style w:type="character" w:customStyle="1" w:styleId="normaltextrun">
    <w:name w:val="normaltextrun"/>
    <w:basedOn w:val="DefaultParagraphFont"/>
    <w:rsid w:val="001814E6"/>
  </w:style>
  <w:style w:type="character" w:styleId="CommentReference">
    <w:name w:val="annotation reference"/>
    <w:basedOn w:val="DefaultParagraphFont"/>
    <w:uiPriority w:val="99"/>
    <w:semiHidden/>
    <w:unhideWhenUsed/>
    <w:rsid w:val="001814E6"/>
    <w:rPr>
      <w:sz w:val="16"/>
      <w:szCs w:val="16"/>
    </w:rPr>
  </w:style>
  <w:style w:type="paragraph" w:styleId="CommentText">
    <w:name w:val="annotation text"/>
    <w:basedOn w:val="Normal"/>
    <w:link w:val="CommentTextChar"/>
    <w:uiPriority w:val="99"/>
    <w:unhideWhenUsed/>
    <w:rsid w:val="001814E6"/>
    <w:pPr>
      <w:spacing w:line="240" w:lineRule="auto"/>
    </w:pPr>
    <w:rPr>
      <w:sz w:val="20"/>
      <w:szCs w:val="20"/>
    </w:rPr>
  </w:style>
  <w:style w:type="character" w:customStyle="1" w:styleId="CommentTextChar">
    <w:name w:val="Comment Text Char"/>
    <w:basedOn w:val="DefaultParagraphFont"/>
    <w:link w:val="CommentText"/>
    <w:uiPriority w:val="99"/>
    <w:rsid w:val="001814E6"/>
    <w:rPr>
      <w:sz w:val="20"/>
      <w:szCs w:val="20"/>
    </w:rPr>
  </w:style>
  <w:style w:type="paragraph" w:styleId="CommentSubject">
    <w:name w:val="annotation subject"/>
    <w:basedOn w:val="CommentText"/>
    <w:next w:val="CommentText"/>
    <w:link w:val="CommentSubjectChar"/>
    <w:uiPriority w:val="99"/>
    <w:semiHidden/>
    <w:unhideWhenUsed/>
    <w:rsid w:val="001814E6"/>
    <w:rPr>
      <w:b/>
      <w:bCs/>
    </w:rPr>
  </w:style>
  <w:style w:type="character" w:customStyle="1" w:styleId="CommentSubjectChar">
    <w:name w:val="Comment Subject Char"/>
    <w:basedOn w:val="CommentTextChar"/>
    <w:link w:val="CommentSubject"/>
    <w:uiPriority w:val="99"/>
    <w:semiHidden/>
    <w:rsid w:val="001814E6"/>
    <w:rPr>
      <w:b/>
      <w:bCs/>
      <w:sz w:val="20"/>
      <w:szCs w:val="20"/>
    </w:rPr>
  </w:style>
  <w:style w:type="paragraph" w:styleId="NormalWeb">
    <w:name w:val="Normal (Web)"/>
    <w:basedOn w:val="Normal"/>
    <w:uiPriority w:val="99"/>
    <w:unhideWhenUsed/>
    <w:rsid w:val="000D644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901"/>
    <w:rPr>
      <w:rFonts w:ascii="Segoe UI" w:hAnsi="Segoe UI" w:cs="Segoe UI"/>
      <w:sz w:val="18"/>
      <w:szCs w:val="18"/>
    </w:rPr>
  </w:style>
  <w:style w:type="paragraph" w:styleId="Bibliography">
    <w:name w:val="Bibliography"/>
    <w:basedOn w:val="Normal"/>
    <w:next w:val="Normal"/>
    <w:uiPriority w:val="37"/>
    <w:semiHidden/>
    <w:unhideWhenUsed/>
    <w:rsid w:val="00FD5901"/>
  </w:style>
  <w:style w:type="paragraph" w:styleId="BlockText">
    <w:name w:val="Block Text"/>
    <w:basedOn w:val="Normal"/>
    <w:uiPriority w:val="99"/>
    <w:semiHidden/>
    <w:unhideWhenUsed/>
    <w:rsid w:val="00FD590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FD5901"/>
    <w:pPr>
      <w:spacing w:after="120"/>
    </w:pPr>
  </w:style>
  <w:style w:type="character" w:customStyle="1" w:styleId="BodyTextChar">
    <w:name w:val="Body Text Char"/>
    <w:basedOn w:val="DefaultParagraphFont"/>
    <w:link w:val="BodyText"/>
    <w:uiPriority w:val="99"/>
    <w:semiHidden/>
    <w:rsid w:val="00FD5901"/>
  </w:style>
  <w:style w:type="paragraph" w:styleId="BodyText2">
    <w:name w:val="Body Text 2"/>
    <w:basedOn w:val="Normal"/>
    <w:link w:val="BodyText2Char"/>
    <w:uiPriority w:val="99"/>
    <w:semiHidden/>
    <w:unhideWhenUsed/>
    <w:rsid w:val="00FD5901"/>
    <w:pPr>
      <w:spacing w:after="120" w:line="480" w:lineRule="auto"/>
    </w:pPr>
  </w:style>
  <w:style w:type="character" w:customStyle="1" w:styleId="BodyText2Char">
    <w:name w:val="Body Text 2 Char"/>
    <w:basedOn w:val="DefaultParagraphFont"/>
    <w:link w:val="BodyText2"/>
    <w:uiPriority w:val="99"/>
    <w:semiHidden/>
    <w:rsid w:val="00FD5901"/>
  </w:style>
  <w:style w:type="paragraph" w:styleId="BodyText3">
    <w:name w:val="Body Text 3"/>
    <w:basedOn w:val="Normal"/>
    <w:link w:val="BodyText3Char"/>
    <w:uiPriority w:val="99"/>
    <w:semiHidden/>
    <w:unhideWhenUsed/>
    <w:rsid w:val="00FD5901"/>
    <w:pPr>
      <w:spacing w:after="120"/>
    </w:pPr>
    <w:rPr>
      <w:sz w:val="16"/>
      <w:szCs w:val="16"/>
    </w:rPr>
  </w:style>
  <w:style w:type="character" w:customStyle="1" w:styleId="BodyText3Char">
    <w:name w:val="Body Text 3 Char"/>
    <w:basedOn w:val="DefaultParagraphFont"/>
    <w:link w:val="BodyText3"/>
    <w:uiPriority w:val="99"/>
    <w:semiHidden/>
    <w:rsid w:val="00FD5901"/>
    <w:rPr>
      <w:sz w:val="16"/>
      <w:szCs w:val="16"/>
    </w:rPr>
  </w:style>
  <w:style w:type="paragraph" w:styleId="BodyTextFirstIndent">
    <w:name w:val="Body Text First Indent"/>
    <w:basedOn w:val="BodyText"/>
    <w:link w:val="BodyTextFirstIndentChar"/>
    <w:uiPriority w:val="99"/>
    <w:semiHidden/>
    <w:unhideWhenUsed/>
    <w:rsid w:val="00FD5901"/>
    <w:pPr>
      <w:spacing w:after="160"/>
      <w:ind w:firstLine="360"/>
    </w:pPr>
  </w:style>
  <w:style w:type="character" w:customStyle="1" w:styleId="BodyTextFirstIndentChar">
    <w:name w:val="Body Text First Indent Char"/>
    <w:basedOn w:val="BodyTextChar"/>
    <w:link w:val="BodyTextFirstIndent"/>
    <w:uiPriority w:val="99"/>
    <w:semiHidden/>
    <w:rsid w:val="00FD5901"/>
  </w:style>
  <w:style w:type="paragraph" w:styleId="BodyTextIndent">
    <w:name w:val="Body Text Indent"/>
    <w:basedOn w:val="Normal"/>
    <w:link w:val="BodyTextIndentChar"/>
    <w:uiPriority w:val="99"/>
    <w:semiHidden/>
    <w:unhideWhenUsed/>
    <w:rsid w:val="00FD5901"/>
    <w:pPr>
      <w:spacing w:after="120"/>
      <w:ind w:left="360"/>
    </w:pPr>
  </w:style>
  <w:style w:type="character" w:customStyle="1" w:styleId="BodyTextIndentChar">
    <w:name w:val="Body Text Indent Char"/>
    <w:basedOn w:val="DefaultParagraphFont"/>
    <w:link w:val="BodyTextIndent"/>
    <w:uiPriority w:val="99"/>
    <w:semiHidden/>
    <w:rsid w:val="00FD5901"/>
  </w:style>
  <w:style w:type="paragraph" w:styleId="BodyTextFirstIndent2">
    <w:name w:val="Body Text First Indent 2"/>
    <w:basedOn w:val="BodyTextIndent"/>
    <w:link w:val="BodyTextFirstIndent2Char"/>
    <w:uiPriority w:val="99"/>
    <w:semiHidden/>
    <w:unhideWhenUsed/>
    <w:rsid w:val="00FD5901"/>
    <w:pPr>
      <w:spacing w:after="160"/>
      <w:ind w:firstLine="360"/>
    </w:pPr>
  </w:style>
  <w:style w:type="character" w:customStyle="1" w:styleId="BodyTextFirstIndent2Char">
    <w:name w:val="Body Text First Indent 2 Char"/>
    <w:basedOn w:val="BodyTextIndentChar"/>
    <w:link w:val="BodyTextFirstIndent2"/>
    <w:uiPriority w:val="99"/>
    <w:semiHidden/>
    <w:rsid w:val="00FD5901"/>
  </w:style>
  <w:style w:type="paragraph" w:styleId="BodyTextIndent2">
    <w:name w:val="Body Text Indent 2"/>
    <w:basedOn w:val="Normal"/>
    <w:link w:val="BodyTextIndent2Char"/>
    <w:uiPriority w:val="99"/>
    <w:semiHidden/>
    <w:unhideWhenUsed/>
    <w:rsid w:val="00FD5901"/>
    <w:pPr>
      <w:spacing w:after="120" w:line="480" w:lineRule="auto"/>
      <w:ind w:left="360"/>
    </w:pPr>
  </w:style>
  <w:style w:type="character" w:customStyle="1" w:styleId="BodyTextIndent2Char">
    <w:name w:val="Body Text Indent 2 Char"/>
    <w:basedOn w:val="DefaultParagraphFont"/>
    <w:link w:val="BodyTextIndent2"/>
    <w:uiPriority w:val="99"/>
    <w:semiHidden/>
    <w:rsid w:val="00FD5901"/>
  </w:style>
  <w:style w:type="paragraph" w:styleId="BodyTextIndent3">
    <w:name w:val="Body Text Indent 3"/>
    <w:basedOn w:val="Normal"/>
    <w:link w:val="BodyTextIndent3Char"/>
    <w:uiPriority w:val="99"/>
    <w:semiHidden/>
    <w:unhideWhenUsed/>
    <w:rsid w:val="00FD5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D5901"/>
    <w:rPr>
      <w:sz w:val="16"/>
      <w:szCs w:val="16"/>
    </w:rPr>
  </w:style>
  <w:style w:type="paragraph" w:styleId="Caption">
    <w:name w:val="caption"/>
    <w:basedOn w:val="Normal"/>
    <w:next w:val="Normal"/>
    <w:uiPriority w:val="35"/>
    <w:semiHidden/>
    <w:unhideWhenUsed/>
    <w:qFormat/>
    <w:rsid w:val="00FD590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D5901"/>
    <w:pPr>
      <w:spacing w:after="0" w:line="240" w:lineRule="auto"/>
      <w:ind w:left="4320"/>
    </w:pPr>
  </w:style>
  <w:style w:type="character" w:customStyle="1" w:styleId="ClosingChar">
    <w:name w:val="Closing Char"/>
    <w:basedOn w:val="DefaultParagraphFont"/>
    <w:link w:val="Closing"/>
    <w:uiPriority w:val="99"/>
    <w:semiHidden/>
    <w:rsid w:val="00FD5901"/>
  </w:style>
  <w:style w:type="paragraph" w:styleId="Date">
    <w:name w:val="Date"/>
    <w:basedOn w:val="Normal"/>
    <w:next w:val="Normal"/>
    <w:link w:val="DateChar"/>
    <w:uiPriority w:val="99"/>
    <w:semiHidden/>
    <w:unhideWhenUsed/>
    <w:rsid w:val="00FD5901"/>
  </w:style>
  <w:style w:type="character" w:customStyle="1" w:styleId="DateChar">
    <w:name w:val="Date Char"/>
    <w:basedOn w:val="DefaultParagraphFont"/>
    <w:link w:val="Date"/>
    <w:uiPriority w:val="99"/>
    <w:semiHidden/>
    <w:rsid w:val="00FD5901"/>
  </w:style>
  <w:style w:type="paragraph" w:styleId="DocumentMap">
    <w:name w:val="Document Map"/>
    <w:basedOn w:val="Normal"/>
    <w:link w:val="DocumentMapChar"/>
    <w:uiPriority w:val="99"/>
    <w:semiHidden/>
    <w:unhideWhenUsed/>
    <w:rsid w:val="00FD590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D5901"/>
    <w:rPr>
      <w:rFonts w:ascii="Segoe UI" w:hAnsi="Segoe UI" w:cs="Segoe UI"/>
      <w:sz w:val="16"/>
      <w:szCs w:val="16"/>
    </w:rPr>
  </w:style>
  <w:style w:type="paragraph" w:styleId="E-mailSignature">
    <w:name w:val="E-mail Signature"/>
    <w:basedOn w:val="Normal"/>
    <w:link w:val="E-mailSignatureChar"/>
    <w:uiPriority w:val="99"/>
    <w:semiHidden/>
    <w:unhideWhenUsed/>
    <w:rsid w:val="00FD5901"/>
    <w:pPr>
      <w:spacing w:after="0" w:line="240" w:lineRule="auto"/>
    </w:pPr>
  </w:style>
  <w:style w:type="character" w:customStyle="1" w:styleId="E-mailSignatureChar">
    <w:name w:val="E-mail Signature Char"/>
    <w:basedOn w:val="DefaultParagraphFont"/>
    <w:link w:val="E-mailSignature"/>
    <w:uiPriority w:val="99"/>
    <w:semiHidden/>
    <w:rsid w:val="00FD5901"/>
  </w:style>
  <w:style w:type="paragraph" w:styleId="EndnoteText">
    <w:name w:val="endnote text"/>
    <w:basedOn w:val="Normal"/>
    <w:link w:val="EndnoteTextChar"/>
    <w:uiPriority w:val="99"/>
    <w:semiHidden/>
    <w:unhideWhenUsed/>
    <w:rsid w:val="00FD59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5901"/>
    <w:rPr>
      <w:sz w:val="20"/>
      <w:szCs w:val="20"/>
    </w:rPr>
  </w:style>
  <w:style w:type="paragraph" w:styleId="EnvelopeAddress">
    <w:name w:val="envelope address"/>
    <w:basedOn w:val="Normal"/>
    <w:uiPriority w:val="99"/>
    <w:semiHidden/>
    <w:unhideWhenUsed/>
    <w:rsid w:val="00FD590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D590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D59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901"/>
    <w:rPr>
      <w:sz w:val="20"/>
      <w:szCs w:val="20"/>
    </w:rPr>
  </w:style>
  <w:style w:type="character" w:customStyle="1" w:styleId="Heading1Char">
    <w:name w:val="Heading 1 Char"/>
    <w:basedOn w:val="DefaultParagraphFont"/>
    <w:link w:val="Heading1"/>
    <w:uiPriority w:val="9"/>
    <w:rsid w:val="00FD5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D5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D59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D590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D590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D590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590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59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590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D5901"/>
    <w:pPr>
      <w:spacing w:after="0" w:line="240" w:lineRule="auto"/>
    </w:pPr>
    <w:rPr>
      <w:i/>
      <w:iCs/>
    </w:rPr>
  </w:style>
  <w:style w:type="character" w:customStyle="1" w:styleId="HTMLAddressChar">
    <w:name w:val="HTML Address Char"/>
    <w:basedOn w:val="DefaultParagraphFont"/>
    <w:link w:val="HTMLAddress"/>
    <w:uiPriority w:val="99"/>
    <w:semiHidden/>
    <w:rsid w:val="00FD5901"/>
    <w:rPr>
      <w:i/>
      <w:iCs/>
    </w:rPr>
  </w:style>
  <w:style w:type="paragraph" w:styleId="HTMLPreformatted">
    <w:name w:val="HTML Preformatted"/>
    <w:basedOn w:val="Normal"/>
    <w:link w:val="HTMLPreformattedChar"/>
    <w:uiPriority w:val="99"/>
    <w:semiHidden/>
    <w:unhideWhenUsed/>
    <w:rsid w:val="00FD5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D5901"/>
    <w:rPr>
      <w:rFonts w:ascii="Consolas" w:hAnsi="Consolas"/>
      <w:sz w:val="20"/>
      <w:szCs w:val="20"/>
    </w:rPr>
  </w:style>
  <w:style w:type="paragraph" w:styleId="Index1">
    <w:name w:val="index 1"/>
    <w:basedOn w:val="Normal"/>
    <w:next w:val="Normal"/>
    <w:autoRedefine/>
    <w:uiPriority w:val="99"/>
    <w:semiHidden/>
    <w:unhideWhenUsed/>
    <w:rsid w:val="00FD5901"/>
    <w:pPr>
      <w:spacing w:after="0" w:line="240" w:lineRule="auto"/>
      <w:ind w:left="220" w:hanging="220"/>
    </w:pPr>
  </w:style>
  <w:style w:type="paragraph" w:styleId="Index2">
    <w:name w:val="index 2"/>
    <w:basedOn w:val="Normal"/>
    <w:next w:val="Normal"/>
    <w:autoRedefine/>
    <w:uiPriority w:val="99"/>
    <w:semiHidden/>
    <w:unhideWhenUsed/>
    <w:rsid w:val="00FD5901"/>
    <w:pPr>
      <w:spacing w:after="0" w:line="240" w:lineRule="auto"/>
      <w:ind w:left="440" w:hanging="220"/>
    </w:pPr>
  </w:style>
  <w:style w:type="paragraph" w:styleId="Index3">
    <w:name w:val="index 3"/>
    <w:basedOn w:val="Normal"/>
    <w:next w:val="Normal"/>
    <w:autoRedefine/>
    <w:uiPriority w:val="99"/>
    <w:semiHidden/>
    <w:unhideWhenUsed/>
    <w:rsid w:val="00FD5901"/>
    <w:pPr>
      <w:spacing w:after="0" w:line="240" w:lineRule="auto"/>
      <w:ind w:left="660" w:hanging="220"/>
    </w:pPr>
  </w:style>
  <w:style w:type="paragraph" w:styleId="Index4">
    <w:name w:val="index 4"/>
    <w:basedOn w:val="Normal"/>
    <w:next w:val="Normal"/>
    <w:autoRedefine/>
    <w:uiPriority w:val="99"/>
    <w:semiHidden/>
    <w:unhideWhenUsed/>
    <w:rsid w:val="00FD5901"/>
    <w:pPr>
      <w:spacing w:after="0" w:line="240" w:lineRule="auto"/>
      <w:ind w:left="880" w:hanging="220"/>
    </w:pPr>
  </w:style>
  <w:style w:type="paragraph" w:styleId="Index5">
    <w:name w:val="index 5"/>
    <w:basedOn w:val="Normal"/>
    <w:next w:val="Normal"/>
    <w:autoRedefine/>
    <w:uiPriority w:val="99"/>
    <w:semiHidden/>
    <w:unhideWhenUsed/>
    <w:rsid w:val="00FD5901"/>
    <w:pPr>
      <w:spacing w:after="0" w:line="240" w:lineRule="auto"/>
      <w:ind w:left="1100" w:hanging="220"/>
    </w:pPr>
  </w:style>
  <w:style w:type="paragraph" w:styleId="Index6">
    <w:name w:val="index 6"/>
    <w:basedOn w:val="Normal"/>
    <w:next w:val="Normal"/>
    <w:autoRedefine/>
    <w:uiPriority w:val="99"/>
    <w:semiHidden/>
    <w:unhideWhenUsed/>
    <w:rsid w:val="00FD5901"/>
    <w:pPr>
      <w:spacing w:after="0" w:line="240" w:lineRule="auto"/>
      <w:ind w:left="1320" w:hanging="220"/>
    </w:pPr>
  </w:style>
  <w:style w:type="paragraph" w:styleId="Index7">
    <w:name w:val="index 7"/>
    <w:basedOn w:val="Normal"/>
    <w:next w:val="Normal"/>
    <w:autoRedefine/>
    <w:uiPriority w:val="99"/>
    <w:semiHidden/>
    <w:unhideWhenUsed/>
    <w:rsid w:val="00FD5901"/>
    <w:pPr>
      <w:spacing w:after="0" w:line="240" w:lineRule="auto"/>
      <w:ind w:left="1540" w:hanging="220"/>
    </w:pPr>
  </w:style>
  <w:style w:type="paragraph" w:styleId="Index8">
    <w:name w:val="index 8"/>
    <w:basedOn w:val="Normal"/>
    <w:next w:val="Normal"/>
    <w:autoRedefine/>
    <w:uiPriority w:val="99"/>
    <w:semiHidden/>
    <w:unhideWhenUsed/>
    <w:rsid w:val="00FD5901"/>
    <w:pPr>
      <w:spacing w:after="0" w:line="240" w:lineRule="auto"/>
      <w:ind w:left="1760" w:hanging="220"/>
    </w:pPr>
  </w:style>
  <w:style w:type="paragraph" w:styleId="Index9">
    <w:name w:val="index 9"/>
    <w:basedOn w:val="Normal"/>
    <w:next w:val="Normal"/>
    <w:autoRedefine/>
    <w:uiPriority w:val="99"/>
    <w:semiHidden/>
    <w:unhideWhenUsed/>
    <w:rsid w:val="00FD5901"/>
    <w:pPr>
      <w:spacing w:after="0" w:line="240" w:lineRule="auto"/>
      <w:ind w:left="1980" w:hanging="220"/>
    </w:pPr>
  </w:style>
  <w:style w:type="paragraph" w:styleId="IndexHeading">
    <w:name w:val="index heading"/>
    <w:basedOn w:val="Normal"/>
    <w:next w:val="Index1"/>
    <w:uiPriority w:val="99"/>
    <w:semiHidden/>
    <w:unhideWhenUsed/>
    <w:rsid w:val="00FD590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D590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5901"/>
    <w:rPr>
      <w:i/>
      <w:iCs/>
      <w:color w:val="4472C4" w:themeColor="accent1"/>
    </w:rPr>
  </w:style>
  <w:style w:type="paragraph" w:styleId="List">
    <w:name w:val="List"/>
    <w:basedOn w:val="Normal"/>
    <w:uiPriority w:val="99"/>
    <w:semiHidden/>
    <w:unhideWhenUsed/>
    <w:rsid w:val="00FD5901"/>
    <w:pPr>
      <w:ind w:left="360" w:hanging="360"/>
      <w:contextualSpacing/>
    </w:pPr>
  </w:style>
  <w:style w:type="paragraph" w:styleId="List2">
    <w:name w:val="List 2"/>
    <w:basedOn w:val="Normal"/>
    <w:uiPriority w:val="99"/>
    <w:semiHidden/>
    <w:unhideWhenUsed/>
    <w:rsid w:val="00FD5901"/>
    <w:pPr>
      <w:ind w:left="720" w:hanging="360"/>
      <w:contextualSpacing/>
    </w:pPr>
  </w:style>
  <w:style w:type="paragraph" w:styleId="List3">
    <w:name w:val="List 3"/>
    <w:basedOn w:val="Normal"/>
    <w:uiPriority w:val="99"/>
    <w:semiHidden/>
    <w:unhideWhenUsed/>
    <w:rsid w:val="00FD5901"/>
    <w:pPr>
      <w:ind w:left="1080" w:hanging="360"/>
      <w:contextualSpacing/>
    </w:pPr>
  </w:style>
  <w:style w:type="paragraph" w:styleId="List4">
    <w:name w:val="List 4"/>
    <w:basedOn w:val="Normal"/>
    <w:uiPriority w:val="99"/>
    <w:semiHidden/>
    <w:unhideWhenUsed/>
    <w:rsid w:val="00FD5901"/>
    <w:pPr>
      <w:ind w:left="1440" w:hanging="360"/>
      <w:contextualSpacing/>
    </w:pPr>
  </w:style>
  <w:style w:type="paragraph" w:styleId="List5">
    <w:name w:val="List 5"/>
    <w:basedOn w:val="Normal"/>
    <w:uiPriority w:val="99"/>
    <w:semiHidden/>
    <w:unhideWhenUsed/>
    <w:rsid w:val="00FD5901"/>
    <w:pPr>
      <w:ind w:left="1800" w:hanging="360"/>
      <w:contextualSpacing/>
    </w:pPr>
  </w:style>
  <w:style w:type="paragraph" w:styleId="ListBullet">
    <w:name w:val="List Bullet"/>
    <w:basedOn w:val="Normal"/>
    <w:uiPriority w:val="99"/>
    <w:semiHidden/>
    <w:unhideWhenUsed/>
    <w:rsid w:val="00FD5901"/>
    <w:pPr>
      <w:numPr>
        <w:numId w:val="1"/>
      </w:numPr>
      <w:contextualSpacing/>
    </w:pPr>
  </w:style>
  <w:style w:type="paragraph" w:styleId="ListBullet2">
    <w:name w:val="List Bullet 2"/>
    <w:basedOn w:val="Normal"/>
    <w:uiPriority w:val="99"/>
    <w:semiHidden/>
    <w:unhideWhenUsed/>
    <w:rsid w:val="00FD5901"/>
    <w:pPr>
      <w:numPr>
        <w:numId w:val="2"/>
      </w:numPr>
      <w:contextualSpacing/>
    </w:pPr>
  </w:style>
  <w:style w:type="paragraph" w:styleId="ListBullet3">
    <w:name w:val="List Bullet 3"/>
    <w:basedOn w:val="Normal"/>
    <w:uiPriority w:val="99"/>
    <w:semiHidden/>
    <w:unhideWhenUsed/>
    <w:rsid w:val="00FD5901"/>
    <w:pPr>
      <w:numPr>
        <w:numId w:val="3"/>
      </w:numPr>
      <w:contextualSpacing/>
    </w:pPr>
  </w:style>
  <w:style w:type="paragraph" w:styleId="ListBullet4">
    <w:name w:val="List Bullet 4"/>
    <w:basedOn w:val="Normal"/>
    <w:uiPriority w:val="99"/>
    <w:semiHidden/>
    <w:unhideWhenUsed/>
    <w:rsid w:val="00FD5901"/>
    <w:pPr>
      <w:numPr>
        <w:numId w:val="4"/>
      </w:numPr>
      <w:contextualSpacing/>
    </w:pPr>
  </w:style>
  <w:style w:type="paragraph" w:styleId="ListBullet5">
    <w:name w:val="List Bullet 5"/>
    <w:basedOn w:val="Normal"/>
    <w:uiPriority w:val="99"/>
    <w:semiHidden/>
    <w:unhideWhenUsed/>
    <w:rsid w:val="00FD5901"/>
    <w:pPr>
      <w:numPr>
        <w:numId w:val="5"/>
      </w:numPr>
      <w:contextualSpacing/>
    </w:pPr>
  </w:style>
  <w:style w:type="paragraph" w:styleId="ListContinue">
    <w:name w:val="List Continue"/>
    <w:basedOn w:val="Normal"/>
    <w:uiPriority w:val="99"/>
    <w:semiHidden/>
    <w:unhideWhenUsed/>
    <w:rsid w:val="00FD5901"/>
    <w:pPr>
      <w:spacing w:after="120"/>
      <w:ind w:left="360"/>
      <w:contextualSpacing/>
    </w:pPr>
  </w:style>
  <w:style w:type="paragraph" w:styleId="ListContinue2">
    <w:name w:val="List Continue 2"/>
    <w:basedOn w:val="Normal"/>
    <w:uiPriority w:val="99"/>
    <w:semiHidden/>
    <w:unhideWhenUsed/>
    <w:rsid w:val="00FD5901"/>
    <w:pPr>
      <w:spacing w:after="120"/>
      <w:ind w:left="720"/>
      <w:contextualSpacing/>
    </w:pPr>
  </w:style>
  <w:style w:type="paragraph" w:styleId="ListContinue3">
    <w:name w:val="List Continue 3"/>
    <w:basedOn w:val="Normal"/>
    <w:uiPriority w:val="99"/>
    <w:semiHidden/>
    <w:unhideWhenUsed/>
    <w:rsid w:val="00FD5901"/>
    <w:pPr>
      <w:spacing w:after="120"/>
      <w:ind w:left="1080"/>
      <w:contextualSpacing/>
    </w:pPr>
  </w:style>
  <w:style w:type="paragraph" w:styleId="ListContinue4">
    <w:name w:val="List Continue 4"/>
    <w:basedOn w:val="Normal"/>
    <w:uiPriority w:val="99"/>
    <w:semiHidden/>
    <w:unhideWhenUsed/>
    <w:rsid w:val="00FD5901"/>
    <w:pPr>
      <w:spacing w:after="120"/>
      <w:ind w:left="1440"/>
      <w:contextualSpacing/>
    </w:pPr>
  </w:style>
  <w:style w:type="paragraph" w:styleId="ListContinue5">
    <w:name w:val="List Continue 5"/>
    <w:basedOn w:val="Normal"/>
    <w:uiPriority w:val="99"/>
    <w:semiHidden/>
    <w:unhideWhenUsed/>
    <w:rsid w:val="00FD5901"/>
    <w:pPr>
      <w:spacing w:after="120"/>
      <w:ind w:left="1800"/>
      <w:contextualSpacing/>
    </w:pPr>
  </w:style>
  <w:style w:type="paragraph" w:styleId="ListNumber">
    <w:name w:val="List Number"/>
    <w:basedOn w:val="Normal"/>
    <w:uiPriority w:val="99"/>
    <w:semiHidden/>
    <w:unhideWhenUsed/>
    <w:rsid w:val="00FD5901"/>
    <w:pPr>
      <w:numPr>
        <w:numId w:val="6"/>
      </w:numPr>
      <w:contextualSpacing/>
    </w:pPr>
  </w:style>
  <w:style w:type="paragraph" w:styleId="ListNumber2">
    <w:name w:val="List Number 2"/>
    <w:basedOn w:val="Normal"/>
    <w:uiPriority w:val="99"/>
    <w:semiHidden/>
    <w:unhideWhenUsed/>
    <w:rsid w:val="00FD5901"/>
    <w:pPr>
      <w:numPr>
        <w:numId w:val="7"/>
      </w:numPr>
      <w:contextualSpacing/>
    </w:pPr>
  </w:style>
  <w:style w:type="paragraph" w:styleId="ListNumber3">
    <w:name w:val="List Number 3"/>
    <w:basedOn w:val="Normal"/>
    <w:uiPriority w:val="99"/>
    <w:semiHidden/>
    <w:unhideWhenUsed/>
    <w:rsid w:val="00FD5901"/>
    <w:pPr>
      <w:numPr>
        <w:numId w:val="8"/>
      </w:numPr>
      <w:contextualSpacing/>
    </w:pPr>
  </w:style>
  <w:style w:type="paragraph" w:styleId="ListNumber4">
    <w:name w:val="List Number 4"/>
    <w:basedOn w:val="Normal"/>
    <w:uiPriority w:val="99"/>
    <w:semiHidden/>
    <w:unhideWhenUsed/>
    <w:rsid w:val="00FD5901"/>
    <w:pPr>
      <w:numPr>
        <w:numId w:val="9"/>
      </w:numPr>
      <w:contextualSpacing/>
    </w:pPr>
  </w:style>
  <w:style w:type="paragraph" w:styleId="ListNumber5">
    <w:name w:val="List Number 5"/>
    <w:basedOn w:val="Normal"/>
    <w:uiPriority w:val="99"/>
    <w:semiHidden/>
    <w:unhideWhenUsed/>
    <w:rsid w:val="00FD5901"/>
    <w:pPr>
      <w:numPr>
        <w:numId w:val="10"/>
      </w:numPr>
      <w:contextualSpacing/>
    </w:pPr>
  </w:style>
  <w:style w:type="paragraph" w:styleId="ListParagraph">
    <w:name w:val="List Paragraph"/>
    <w:basedOn w:val="Normal"/>
    <w:uiPriority w:val="34"/>
    <w:qFormat/>
    <w:rsid w:val="00FD5901"/>
    <w:pPr>
      <w:ind w:left="720"/>
      <w:contextualSpacing/>
    </w:pPr>
  </w:style>
  <w:style w:type="paragraph" w:styleId="MacroText">
    <w:name w:val="macro"/>
    <w:link w:val="MacroTextChar"/>
    <w:uiPriority w:val="99"/>
    <w:semiHidden/>
    <w:unhideWhenUsed/>
    <w:rsid w:val="00FD590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D5901"/>
    <w:rPr>
      <w:rFonts w:ascii="Consolas" w:hAnsi="Consolas"/>
      <w:sz w:val="20"/>
      <w:szCs w:val="20"/>
    </w:rPr>
  </w:style>
  <w:style w:type="paragraph" w:styleId="MessageHeader">
    <w:name w:val="Message Header"/>
    <w:basedOn w:val="Normal"/>
    <w:link w:val="MessageHeaderChar"/>
    <w:uiPriority w:val="99"/>
    <w:semiHidden/>
    <w:unhideWhenUsed/>
    <w:rsid w:val="00FD590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D5901"/>
    <w:rPr>
      <w:rFonts w:asciiTheme="majorHAnsi" w:eastAsiaTheme="majorEastAsia" w:hAnsiTheme="majorHAnsi" w:cstheme="majorBidi"/>
      <w:sz w:val="24"/>
      <w:szCs w:val="24"/>
      <w:shd w:val="pct20" w:color="auto" w:fill="auto"/>
    </w:rPr>
  </w:style>
  <w:style w:type="paragraph" w:styleId="NoSpacing">
    <w:name w:val="No Spacing"/>
    <w:uiPriority w:val="1"/>
    <w:qFormat/>
    <w:rsid w:val="00FD5901"/>
    <w:pPr>
      <w:spacing w:after="0" w:line="240" w:lineRule="auto"/>
    </w:pPr>
  </w:style>
  <w:style w:type="paragraph" w:styleId="NormalIndent">
    <w:name w:val="Normal Indent"/>
    <w:basedOn w:val="Normal"/>
    <w:uiPriority w:val="99"/>
    <w:semiHidden/>
    <w:unhideWhenUsed/>
    <w:rsid w:val="00FD5901"/>
    <w:pPr>
      <w:ind w:left="720"/>
    </w:pPr>
  </w:style>
  <w:style w:type="paragraph" w:styleId="NoteHeading">
    <w:name w:val="Note Heading"/>
    <w:basedOn w:val="Normal"/>
    <w:next w:val="Normal"/>
    <w:link w:val="NoteHeadingChar"/>
    <w:uiPriority w:val="99"/>
    <w:semiHidden/>
    <w:unhideWhenUsed/>
    <w:rsid w:val="00FD5901"/>
    <w:pPr>
      <w:spacing w:after="0" w:line="240" w:lineRule="auto"/>
    </w:pPr>
  </w:style>
  <w:style w:type="character" w:customStyle="1" w:styleId="NoteHeadingChar">
    <w:name w:val="Note Heading Char"/>
    <w:basedOn w:val="DefaultParagraphFont"/>
    <w:link w:val="NoteHeading"/>
    <w:uiPriority w:val="99"/>
    <w:semiHidden/>
    <w:rsid w:val="00FD5901"/>
  </w:style>
  <w:style w:type="paragraph" w:styleId="PlainText">
    <w:name w:val="Plain Text"/>
    <w:basedOn w:val="Normal"/>
    <w:link w:val="PlainTextChar"/>
    <w:uiPriority w:val="99"/>
    <w:semiHidden/>
    <w:unhideWhenUsed/>
    <w:rsid w:val="00FD590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D5901"/>
    <w:rPr>
      <w:rFonts w:ascii="Consolas" w:hAnsi="Consolas"/>
      <w:sz w:val="21"/>
      <w:szCs w:val="21"/>
    </w:rPr>
  </w:style>
  <w:style w:type="paragraph" w:styleId="Quote">
    <w:name w:val="Quote"/>
    <w:basedOn w:val="Normal"/>
    <w:next w:val="Normal"/>
    <w:link w:val="QuoteChar"/>
    <w:uiPriority w:val="29"/>
    <w:qFormat/>
    <w:rsid w:val="00FD590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D5901"/>
    <w:rPr>
      <w:i/>
      <w:iCs/>
      <w:color w:val="404040" w:themeColor="text1" w:themeTint="BF"/>
    </w:rPr>
  </w:style>
  <w:style w:type="paragraph" w:styleId="Salutation">
    <w:name w:val="Salutation"/>
    <w:basedOn w:val="Normal"/>
    <w:next w:val="Normal"/>
    <w:link w:val="SalutationChar"/>
    <w:uiPriority w:val="99"/>
    <w:semiHidden/>
    <w:unhideWhenUsed/>
    <w:rsid w:val="00FD5901"/>
  </w:style>
  <w:style w:type="character" w:customStyle="1" w:styleId="SalutationChar">
    <w:name w:val="Salutation Char"/>
    <w:basedOn w:val="DefaultParagraphFont"/>
    <w:link w:val="Salutation"/>
    <w:uiPriority w:val="99"/>
    <w:semiHidden/>
    <w:rsid w:val="00FD5901"/>
  </w:style>
  <w:style w:type="paragraph" w:styleId="Signature">
    <w:name w:val="Signature"/>
    <w:basedOn w:val="Normal"/>
    <w:link w:val="SignatureChar"/>
    <w:uiPriority w:val="99"/>
    <w:semiHidden/>
    <w:unhideWhenUsed/>
    <w:rsid w:val="00FD5901"/>
    <w:pPr>
      <w:spacing w:after="0" w:line="240" w:lineRule="auto"/>
      <w:ind w:left="4320"/>
    </w:pPr>
  </w:style>
  <w:style w:type="character" w:customStyle="1" w:styleId="SignatureChar">
    <w:name w:val="Signature Char"/>
    <w:basedOn w:val="DefaultParagraphFont"/>
    <w:link w:val="Signature"/>
    <w:uiPriority w:val="99"/>
    <w:semiHidden/>
    <w:rsid w:val="00FD5901"/>
  </w:style>
  <w:style w:type="paragraph" w:styleId="Subtitle">
    <w:name w:val="Subtitle"/>
    <w:basedOn w:val="Normal"/>
    <w:next w:val="Normal"/>
    <w:link w:val="SubtitleChar"/>
    <w:uiPriority w:val="11"/>
    <w:qFormat/>
    <w:rsid w:val="00FD5901"/>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D5901"/>
    <w:rPr>
      <w:rFonts w:asciiTheme="minorHAnsi" w:eastAsiaTheme="minorEastAsia" w:hAnsiTheme="minorHAnsi"/>
      <w:color w:val="5A5A5A" w:themeColor="text1" w:themeTint="A5"/>
      <w:spacing w:val="15"/>
    </w:rPr>
  </w:style>
  <w:style w:type="paragraph" w:styleId="TableofAuthorities">
    <w:name w:val="table of authorities"/>
    <w:basedOn w:val="Normal"/>
    <w:next w:val="Normal"/>
    <w:uiPriority w:val="99"/>
    <w:semiHidden/>
    <w:unhideWhenUsed/>
    <w:rsid w:val="00FD5901"/>
    <w:pPr>
      <w:spacing w:after="0"/>
      <w:ind w:left="220" w:hanging="220"/>
    </w:pPr>
  </w:style>
  <w:style w:type="paragraph" w:styleId="TableofFigures">
    <w:name w:val="table of figures"/>
    <w:basedOn w:val="Normal"/>
    <w:next w:val="Normal"/>
    <w:uiPriority w:val="99"/>
    <w:semiHidden/>
    <w:unhideWhenUsed/>
    <w:rsid w:val="00FD5901"/>
    <w:pPr>
      <w:spacing w:after="0"/>
    </w:pPr>
  </w:style>
  <w:style w:type="paragraph" w:styleId="Title">
    <w:name w:val="Title"/>
    <w:basedOn w:val="Normal"/>
    <w:next w:val="Normal"/>
    <w:link w:val="TitleChar"/>
    <w:uiPriority w:val="10"/>
    <w:qFormat/>
    <w:rsid w:val="00FD5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90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D590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D5901"/>
    <w:pPr>
      <w:spacing w:after="100"/>
    </w:pPr>
  </w:style>
  <w:style w:type="paragraph" w:styleId="TOC2">
    <w:name w:val="toc 2"/>
    <w:basedOn w:val="Normal"/>
    <w:next w:val="Normal"/>
    <w:autoRedefine/>
    <w:uiPriority w:val="39"/>
    <w:semiHidden/>
    <w:unhideWhenUsed/>
    <w:rsid w:val="00FD5901"/>
    <w:pPr>
      <w:spacing w:after="100"/>
      <w:ind w:left="220"/>
    </w:pPr>
  </w:style>
  <w:style w:type="paragraph" w:styleId="TOC3">
    <w:name w:val="toc 3"/>
    <w:basedOn w:val="Normal"/>
    <w:next w:val="Normal"/>
    <w:autoRedefine/>
    <w:uiPriority w:val="39"/>
    <w:semiHidden/>
    <w:unhideWhenUsed/>
    <w:rsid w:val="00FD5901"/>
    <w:pPr>
      <w:spacing w:after="100"/>
      <w:ind w:left="440"/>
    </w:pPr>
  </w:style>
  <w:style w:type="paragraph" w:styleId="TOC4">
    <w:name w:val="toc 4"/>
    <w:basedOn w:val="Normal"/>
    <w:next w:val="Normal"/>
    <w:autoRedefine/>
    <w:uiPriority w:val="39"/>
    <w:semiHidden/>
    <w:unhideWhenUsed/>
    <w:rsid w:val="00FD5901"/>
    <w:pPr>
      <w:spacing w:after="100"/>
      <w:ind w:left="660"/>
    </w:pPr>
  </w:style>
  <w:style w:type="paragraph" w:styleId="TOC5">
    <w:name w:val="toc 5"/>
    <w:basedOn w:val="Normal"/>
    <w:next w:val="Normal"/>
    <w:autoRedefine/>
    <w:uiPriority w:val="39"/>
    <w:semiHidden/>
    <w:unhideWhenUsed/>
    <w:rsid w:val="00FD5901"/>
    <w:pPr>
      <w:spacing w:after="100"/>
      <w:ind w:left="880"/>
    </w:pPr>
  </w:style>
  <w:style w:type="paragraph" w:styleId="TOC6">
    <w:name w:val="toc 6"/>
    <w:basedOn w:val="Normal"/>
    <w:next w:val="Normal"/>
    <w:autoRedefine/>
    <w:uiPriority w:val="39"/>
    <w:semiHidden/>
    <w:unhideWhenUsed/>
    <w:rsid w:val="00FD5901"/>
    <w:pPr>
      <w:spacing w:after="100"/>
      <w:ind w:left="1100"/>
    </w:pPr>
  </w:style>
  <w:style w:type="paragraph" w:styleId="TOC7">
    <w:name w:val="toc 7"/>
    <w:basedOn w:val="Normal"/>
    <w:next w:val="Normal"/>
    <w:autoRedefine/>
    <w:uiPriority w:val="39"/>
    <w:semiHidden/>
    <w:unhideWhenUsed/>
    <w:rsid w:val="00FD5901"/>
    <w:pPr>
      <w:spacing w:after="100"/>
      <w:ind w:left="1320"/>
    </w:pPr>
  </w:style>
  <w:style w:type="paragraph" w:styleId="TOC8">
    <w:name w:val="toc 8"/>
    <w:basedOn w:val="Normal"/>
    <w:next w:val="Normal"/>
    <w:autoRedefine/>
    <w:uiPriority w:val="39"/>
    <w:semiHidden/>
    <w:unhideWhenUsed/>
    <w:rsid w:val="00FD5901"/>
    <w:pPr>
      <w:spacing w:after="100"/>
      <w:ind w:left="1540"/>
    </w:pPr>
  </w:style>
  <w:style w:type="paragraph" w:styleId="TOC9">
    <w:name w:val="toc 9"/>
    <w:basedOn w:val="Normal"/>
    <w:next w:val="Normal"/>
    <w:autoRedefine/>
    <w:uiPriority w:val="39"/>
    <w:semiHidden/>
    <w:unhideWhenUsed/>
    <w:rsid w:val="00FD5901"/>
    <w:pPr>
      <w:spacing w:after="100"/>
      <w:ind w:left="1760"/>
    </w:pPr>
  </w:style>
  <w:style w:type="paragraph" w:styleId="TOCHeading">
    <w:name w:val="TOC Heading"/>
    <w:basedOn w:val="Heading1"/>
    <w:next w:val="Normal"/>
    <w:uiPriority w:val="39"/>
    <w:semiHidden/>
    <w:unhideWhenUsed/>
    <w:qFormat/>
    <w:rsid w:val="00FD5901"/>
    <w:pPr>
      <w:outlineLvl w:val="9"/>
    </w:pPr>
  </w:style>
  <w:style w:type="table" w:styleId="TableGrid">
    <w:name w:val="Table Grid"/>
    <w:basedOn w:val="TableNormal"/>
    <w:uiPriority w:val="39"/>
    <w:rsid w:val="00971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82A"/>
    <w:rPr>
      <w:color w:val="0000FF"/>
      <w:u w:val="single"/>
    </w:rPr>
  </w:style>
  <w:style w:type="character" w:styleId="UnresolvedMention">
    <w:name w:val="Unresolved Mention"/>
    <w:basedOn w:val="DefaultParagraphFont"/>
    <w:uiPriority w:val="99"/>
    <w:semiHidden/>
    <w:unhideWhenUsed/>
    <w:rsid w:val="00447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0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l.gov/agencies/ebsa/laws-and-regulations/laws/secure-act%23:~:text=Setting%20Every%20Community%20Up%20for,Act)%20%7C%20U.S.%20Department%20of%20Labo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FA7429EB4DBD49892B51826055DF24" ma:contentTypeVersion="18" ma:contentTypeDescription="Create a new document." ma:contentTypeScope="" ma:versionID="6d06be14e320e5db2d16fe582010f775">
  <xsd:schema xmlns:xsd="http://www.w3.org/2001/XMLSchema" xmlns:xs="http://www.w3.org/2001/XMLSchema" xmlns:p="http://schemas.microsoft.com/office/2006/metadata/properties" xmlns:ns2="769c962c-ae88-424a-a9f9-e4c4760fc375" xmlns:ns3="b1742ad7-3d3e-4e9c-b1c1-17544b8c822e" targetNamespace="http://schemas.microsoft.com/office/2006/metadata/properties" ma:root="true" ma:fieldsID="d849545d1ba92073b522d2201a949b69" ns2:_="" ns3:_="">
    <xsd:import namespace="769c962c-ae88-424a-a9f9-e4c4760fc375"/>
    <xsd:import namespace="b1742ad7-3d3e-4e9c-b1c1-17544b8c8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c962c-ae88-424a-a9f9-e4c4760fc37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4749b67-ba4d-471d-849e-0c9fdcb1b2c4}" ma:internalName="TaxCatchAll" ma:showField="CatchAllData" ma:web="769c962c-ae88-424a-a9f9-e4c4760fc3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742ad7-3d3e-4e9c-b1c1-17544b8c8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f2a912e-34fd-488e-8e63-a7f1d16cf2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769c962c-ae88-424a-a9f9-e4c4760fc375">VUAW636WM43A-167323429-1034233</_dlc_DocId>
    <_dlc_DocIdUrl xmlns="769c962c-ae88-424a-a9f9-e4c4760fc375">
      <Url>https://mcfadvisors.sharepoint.com/sites/Data/_layouts/15/DocIdRedir.aspx?ID=VUAW636WM43A-167323429-1034233</Url>
      <Description>VUAW636WM43A-167323429-1034233</Description>
    </_dlc_DocIdUrl>
    <TaxCatchAll xmlns="769c962c-ae88-424a-a9f9-e4c4760fc375" xsi:nil="true"/>
    <lcf76f155ced4ddcb4097134ff3c332f xmlns="b1742ad7-3d3e-4e9c-b1c1-17544b8c8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43A864-8D83-4D01-988D-4C51B7738D56}">
  <ds:schemaRefs>
    <ds:schemaRef ds:uri="http://schemas.openxmlformats.org/officeDocument/2006/bibliography"/>
  </ds:schemaRefs>
</ds:datastoreItem>
</file>

<file path=customXml/itemProps2.xml><?xml version="1.0" encoding="utf-8"?>
<ds:datastoreItem xmlns:ds="http://schemas.openxmlformats.org/officeDocument/2006/customXml" ds:itemID="{BF14ABEB-305E-4FC8-905B-EDA5F1998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c962c-ae88-424a-a9f9-e4c4760fc375"/>
    <ds:schemaRef ds:uri="b1742ad7-3d3e-4e9c-b1c1-17544b8c8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B931F-9CA9-471F-A7D9-CBA3D8871E83}">
  <ds:schemaRefs>
    <ds:schemaRef ds:uri="http://schemas.microsoft.com/sharepoint/v3/contenttype/forms"/>
  </ds:schemaRefs>
</ds:datastoreItem>
</file>

<file path=customXml/itemProps4.xml><?xml version="1.0" encoding="utf-8"?>
<ds:datastoreItem xmlns:ds="http://schemas.openxmlformats.org/officeDocument/2006/customXml" ds:itemID="{EDF908BE-0EFE-4175-AD30-3B9C86B14B6C}">
  <ds:schemaRefs>
    <ds:schemaRef ds:uri="http://schemas.microsoft.com/sharepoint/events"/>
  </ds:schemaRefs>
</ds:datastoreItem>
</file>

<file path=customXml/itemProps5.xml><?xml version="1.0" encoding="utf-8"?>
<ds:datastoreItem xmlns:ds="http://schemas.openxmlformats.org/officeDocument/2006/customXml" ds:itemID="{7BA180D6-D2A3-49F9-9AE6-FBA0E7C4DB0D}">
  <ds:schemaRefs>
    <ds:schemaRef ds:uri="http://schemas.microsoft.com/office/2006/metadata/properties"/>
    <ds:schemaRef ds:uri="http://schemas.microsoft.com/office/infopath/2007/PartnerControls"/>
    <ds:schemaRef ds:uri="769c962c-ae88-424a-a9f9-e4c4760fc375"/>
    <ds:schemaRef ds:uri="b1742ad7-3d3e-4e9c-b1c1-17544b8c822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Kristopher Kellinghaus</dc:creator>
  <cp:keywords/>
  <dc:description/>
  <cp:lastModifiedBy>Sarah Huster</cp:lastModifiedBy>
  <cp:revision>4</cp:revision>
  <cp:lastPrinted>2023-09-28T20:16:00Z</cp:lastPrinted>
  <dcterms:created xsi:type="dcterms:W3CDTF">2024-09-27T14:34:00Z</dcterms:created>
  <dcterms:modified xsi:type="dcterms:W3CDTF">2024-09-27T17:37:00Z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0x01010041FA7429EB4DBD49892B51826055DF24</vt:lpwstr>
  </property>
  <property fmtid="{D5CDD505-2E9C-101B-9397-08002B2CF9AE}" pid="3" name="MediaServiceImageTags">
    <vt:lpwstr/>
  </property>
  <property fmtid="{D5CDD505-2E9C-101B-9397-08002B2CF9AE}" pid="4" name="_dlc_DocIdItemGuid">
    <vt:lpwstr>90d5b07b-b33f-428e-aca1-4d47d31d75bf</vt:lpwstr>
  </property>
</Properties>
</file>